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360" w:lineRule="auto"/>
        <w:jc w:val="center"/>
        <w:textAlignment w:val="baseline"/>
        <w:rPr>
          <w:rStyle w:val="26"/>
          <w:rFonts w:ascii="仿宋_GB2312" w:hAnsi="仿宋_GB2312" w:eastAsia="仿宋_GB2312" w:cs="仿宋_GB2312"/>
          <w:b/>
          <w:sz w:val="28"/>
          <w:szCs w:val="28"/>
        </w:rPr>
      </w:pPr>
    </w:p>
    <w:p>
      <w:pPr>
        <w:spacing w:after="156" w:line="360" w:lineRule="auto"/>
        <w:jc w:val="center"/>
        <w:textAlignment w:val="baseline"/>
        <w:rPr>
          <w:rStyle w:val="26"/>
          <w:rFonts w:ascii="仿宋_GB2312" w:hAnsi="仿宋_GB2312" w:eastAsia="仿宋_GB2312" w:cs="仿宋_GB2312"/>
          <w:bCs/>
          <w:sz w:val="28"/>
          <w:szCs w:val="28"/>
        </w:rPr>
      </w:pPr>
    </w:p>
    <w:p>
      <w:pPr>
        <w:spacing w:after="156" w:line="560" w:lineRule="exact"/>
        <w:jc w:val="center"/>
        <w:textAlignment w:val="baseline"/>
        <w:rPr>
          <w:rStyle w:val="26"/>
          <w:rFonts w:ascii="方正小标宋简体" w:hAnsi="宋体" w:eastAsia="方正小标宋简体"/>
          <w:bCs/>
          <w:sz w:val="44"/>
          <w:szCs w:val="44"/>
        </w:rPr>
      </w:pPr>
      <w:r>
        <w:rPr>
          <w:rStyle w:val="26"/>
          <w:rFonts w:hint="eastAsia" w:ascii="方正小标宋简体" w:hAnsi="宋体" w:eastAsia="方正小标宋简体"/>
          <w:bCs/>
          <w:sz w:val="44"/>
          <w:szCs w:val="44"/>
        </w:rPr>
        <w:t>2021年学位授权点建设年度报告</w:t>
      </w:r>
    </w:p>
    <w:p>
      <w:pPr>
        <w:snapToGrid w:val="0"/>
        <w:spacing w:line="360" w:lineRule="auto"/>
        <w:textAlignment w:val="baseline"/>
        <w:rPr>
          <w:rStyle w:val="26"/>
          <w:rFonts w:ascii="仿宋_GB2312" w:hAnsi="仿宋_GB2312" w:eastAsia="仿宋_GB2312" w:cs="仿宋_GB2312"/>
          <w:b/>
          <w:sz w:val="28"/>
          <w:szCs w:val="28"/>
        </w:rPr>
      </w:pPr>
    </w:p>
    <w:p>
      <w:pPr>
        <w:snapToGrid w:val="0"/>
        <w:spacing w:line="360" w:lineRule="auto"/>
        <w:jc w:val="center"/>
        <w:textAlignment w:val="baseline"/>
        <w:rPr>
          <w:rStyle w:val="26"/>
          <w:rFonts w:ascii="仿宋_GB2312" w:hAnsi="仿宋_GB2312" w:eastAsia="仿宋_GB2312" w:cs="仿宋_GB2312"/>
          <w:b/>
          <w:sz w:val="28"/>
          <w:szCs w:val="28"/>
        </w:rPr>
      </w:pPr>
    </w:p>
    <w:p>
      <w:pPr>
        <w:snapToGrid w:val="0"/>
        <w:spacing w:line="360" w:lineRule="auto"/>
        <w:jc w:val="center"/>
        <w:textAlignment w:val="baseline"/>
        <w:rPr>
          <w:rStyle w:val="26"/>
          <w:rFonts w:ascii="仿宋_GB2312" w:hAnsi="仿宋_GB2312" w:eastAsia="仿宋_GB2312" w:cs="仿宋_GB2312"/>
          <w:b/>
          <w:sz w:val="28"/>
          <w:szCs w:val="28"/>
        </w:rPr>
      </w:pPr>
    </w:p>
    <w:tbl>
      <w:tblPr>
        <w:tblStyle w:val="13"/>
        <w:tblW w:w="5368"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211"/>
        <w:gridCol w:w="315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178" w:hRule="atLeast"/>
        </w:trPr>
        <w:tc>
          <w:tcPr>
            <w:tcW w:w="2211" w:type="dxa"/>
            <w:vMerge w:val="restart"/>
            <w:vAlign w:val="center"/>
          </w:tcPr>
          <w:p>
            <w:pPr>
              <w:spacing w:line="360" w:lineRule="auto"/>
              <w:jc w:val="distribute"/>
              <w:rPr>
                <w:rFonts w:ascii="仿宋_GB2312" w:hAnsi="仿宋_GB2312" w:eastAsia="仿宋_GB2312" w:cs="仿宋_GB2312"/>
                <w:b/>
                <w:sz w:val="28"/>
                <w:szCs w:val="28"/>
              </w:rPr>
            </w:pPr>
            <w:r>
              <w:rPr>
                <w:rFonts w:hint="eastAsia" w:ascii="仿宋_GB2312" w:hAnsi="仿宋_GB2312" w:eastAsia="仿宋_GB2312" w:cs="仿宋_GB2312"/>
                <w:b/>
                <w:sz w:val="28"/>
                <w:szCs w:val="28"/>
              </w:rPr>
              <w:t>学位授予单位</w:t>
            </w:r>
          </w:p>
        </w:tc>
        <w:tc>
          <w:tcPr>
            <w:tcW w:w="3157" w:type="dxa"/>
            <w:tcBorders>
              <w:bottom w:val="single" w:color="auto" w:sz="4" w:space="0"/>
            </w:tcBorders>
            <w:vAlign w:val="center"/>
          </w:tcPr>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名称：江西科技师范大学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618" w:hRule="atLeast"/>
        </w:trPr>
        <w:tc>
          <w:tcPr>
            <w:tcW w:w="2211" w:type="dxa"/>
            <w:vMerge w:val="continue"/>
          </w:tcPr>
          <w:p>
            <w:pPr>
              <w:spacing w:line="360" w:lineRule="auto"/>
              <w:jc w:val="center"/>
              <w:rPr>
                <w:rFonts w:ascii="仿宋_GB2312" w:hAnsi="仿宋_GB2312" w:eastAsia="仿宋_GB2312" w:cs="仿宋_GB2312"/>
                <w:b/>
                <w:sz w:val="28"/>
                <w:szCs w:val="28"/>
              </w:rPr>
            </w:pPr>
          </w:p>
        </w:tc>
        <w:tc>
          <w:tcPr>
            <w:tcW w:w="3157" w:type="dxa"/>
            <w:tcBorders>
              <w:top w:val="single" w:color="auto" w:sz="4" w:space="0"/>
            </w:tcBorders>
            <w:vAlign w:val="center"/>
          </w:tcPr>
          <w:p>
            <w:pPr>
              <w:spacing w:line="360" w:lineRule="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rPr>
              <w:t>代码：</w:t>
            </w:r>
            <w:r>
              <w:rPr>
                <w:rFonts w:hint="eastAsia" w:ascii="仿宋_GB2312" w:hAnsi="仿宋_GB2312" w:eastAsia="仿宋_GB2312" w:cs="仿宋_GB2312"/>
                <w:b/>
                <w:sz w:val="28"/>
                <w:szCs w:val="28"/>
                <w:lang w:val="en-US" w:eastAsia="zh-CN"/>
              </w:rPr>
              <w:t>11318</w:t>
            </w:r>
          </w:p>
        </w:tc>
      </w:tr>
    </w:tbl>
    <w:p>
      <w:pPr>
        <w:snapToGrid w:val="0"/>
        <w:spacing w:line="360" w:lineRule="auto"/>
        <w:jc w:val="center"/>
        <w:textAlignment w:val="baseline"/>
        <w:rPr>
          <w:rStyle w:val="26"/>
          <w:rFonts w:ascii="仿宋_GB2312" w:hAnsi="仿宋_GB2312" w:eastAsia="仿宋_GB2312" w:cs="仿宋_GB2312"/>
          <w:b/>
          <w:sz w:val="28"/>
          <w:szCs w:val="28"/>
        </w:rPr>
      </w:pPr>
    </w:p>
    <w:tbl>
      <w:tblPr>
        <w:tblStyle w:val="13"/>
        <w:tblW w:w="5368"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215"/>
        <w:gridCol w:w="315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215" w:type="dxa"/>
            <w:vMerge w:val="restart"/>
            <w:vAlign w:val="center"/>
          </w:tcPr>
          <w:p>
            <w:pPr>
              <w:spacing w:line="360" w:lineRule="auto"/>
              <w:jc w:val="distribute"/>
              <w:rPr>
                <w:rFonts w:ascii="仿宋_GB2312" w:hAnsi="仿宋_GB2312" w:eastAsia="仿宋_GB2312" w:cs="仿宋_GB2312"/>
                <w:b/>
                <w:sz w:val="28"/>
                <w:szCs w:val="28"/>
              </w:rPr>
            </w:pPr>
            <w:r>
              <w:rPr>
                <w:rFonts w:hint="eastAsia" w:ascii="仿宋_GB2312" w:hAnsi="仿宋_GB2312" w:eastAsia="仿宋_GB2312" w:cs="仿宋_GB2312"/>
                <w:b/>
                <w:sz w:val="28"/>
                <w:szCs w:val="28"/>
              </w:rPr>
              <w:t>授权学位</w:t>
            </w:r>
          </w:p>
          <w:p>
            <w:pPr>
              <w:spacing w:line="360" w:lineRule="auto"/>
              <w:jc w:val="distribute"/>
              <w:rPr>
                <w:rFonts w:ascii="仿宋_GB2312" w:hAnsi="仿宋_GB2312" w:eastAsia="仿宋_GB2312" w:cs="仿宋_GB2312"/>
                <w:b/>
                <w:sz w:val="28"/>
                <w:szCs w:val="28"/>
              </w:rPr>
            </w:pPr>
            <w:r>
              <w:rPr>
                <w:rFonts w:hint="eastAsia" w:ascii="仿宋_GB2312" w:hAnsi="仿宋_GB2312" w:eastAsia="仿宋_GB2312" w:cs="仿宋_GB2312"/>
                <w:b/>
                <w:sz w:val="28"/>
                <w:szCs w:val="28"/>
              </w:rPr>
              <w:t>（类别）</w:t>
            </w:r>
          </w:p>
        </w:tc>
        <w:tc>
          <w:tcPr>
            <w:tcW w:w="3153" w:type="dxa"/>
            <w:tcBorders>
              <w:bottom w:val="single" w:color="auto" w:sz="4" w:space="0"/>
            </w:tcBorders>
            <w:vAlign w:val="center"/>
          </w:tcPr>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名称：</w:t>
            </w:r>
            <w:r>
              <w:rPr>
                <w:rFonts w:hint="eastAsia" w:ascii="仿宋_GB2312" w:hAnsi="仿宋_GB2312" w:eastAsia="仿宋_GB2312" w:cs="仿宋_GB2312"/>
                <w:b/>
                <w:sz w:val="28"/>
                <w:szCs w:val="28"/>
                <w:lang w:eastAsia="zh-CN"/>
              </w:rPr>
              <w:t>国际商务</w:t>
            </w:r>
            <w:r>
              <w:rPr>
                <w:rFonts w:hint="eastAsia" w:ascii="仿宋_GB2312" w:hAnsi="仿宋_GB2312" w:eastAsia="仿宋_GB2312" w:cs="仿宋_GB2312"/>
                <w:b/>
                <w:sz w:val="28"/>
                <w:szCs w:val="28"/>
              </w:rPr>
              <w:t>硕士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215" w:type="dxa"/>
            <w:vMerge w:val="continue"/>
          </w:tcPr>
          <w:p>
            <w:pPr>
              <w:spacing w:line="360" w:lineRule="auto"/>
              <w:jc w:val="center"/>
              <w:rPr>
                <w:rFonts w:ascii="仿宋_GB2312" w:hAnsi="仿宋_GB2312" w:eastAsia="仿宋_GB2312" w:cs="仿宋_GB2312"/>
                <w:b/>
                <w:sz w:val="28"/>
                <w:szCs w:val="28"/>
              </w:rPr>
            </w:pPr>
          </w:p>
        </w:tc>
        <w:tc>
          <w:tcPr>
            <w:tcW w:w="3153" w:type="dxa"/>
            <w:tcBorders>
              <w:top w:val="single" w:color="auto" w:sz="4" w:space="0"/>
            </w:tcBorders>
            <w:vAlign w:val="center"/>
          </w:tcPr>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代码：025400</w:t>
            </w:r>
          </w:p>
        </w:tc>
      </w:tr>
    </w:tbl>
    <w:p>
      <w:pPr>
        <w:spacing w:line="360" w:lineRule="auto"/>
        <w:jc w:val="center"/>
        <w:textAlignment w:val="baseline"/>
        <w:rPr>
          <w:rStyle w:val="26"/>
          <w:rFonts w:ascii="仿宋_GB2312" w:hAnsi="仿宋_GB2312" w:eastAsia="仿宋_GB2312" w:cs="仿宋_GB2312"/>
          <w:b/>
          <w:sz w:val="28"/>
          <w:szCs w:val="28"/>
        </w:rPr>
      </w:pPr>
    </w:p>
    <w:tbl>
      <w:tblPr>
        <w:tblStyle w:val="13"/>
        <w:tblW w:w="5368"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239"/>
        <w:gridCol w:w="312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239" w:type="dxa"/>
            <w:vMerge w:val="restart"/>
            <w:vAlign w:val="center"/>
          </w:tcPr>
          <w:p>
            <w:pPr>
              <w:spacing w:line="360" w:lineRule="auto"/>
              <w:jc w:val="distribute"/>
              <w:rPr>
                <w:rFonts w:ascii="仿宋_GB2312" w:hAnsi="仿宋_GB2312" w:eastAsia="仿宋_GB2312" w:cs="仿宋_GB2312"/>
                <w:b/>
                <w:sz w:val="28"/>
                <w:szCs w:val="28"/>
              </w:rPr>
            </w:pPr>
            <w:r>
              <w:rPr>
                <w:rFonts w:hint="eastAsia" w:ascii="仿宋_GB2312" w:hAnsi="仿宋_GB2312" w:eastAsia="仿宋_GB2312" w:cs="仿宋_GB2312"/>
                <w:b/>
                <w:sz w:val="28"/>
                <w:szCs w:val="28"/>
              </w:rPr>
              <w:t>授权级别</w:t>
            </w:r>
          </w:p>
        </w:tc>
        <w:tc>
          <w:tcPr>
            <w:tcW w:w="3129" w:type="dxa"/>
            <w:tcBorders>
              <w:bottom w:val="single" w:color="auto" w:sz="4" w:space="0"/>
            </w:tcBorders>
            <w:vAlign w:val="center"/>
          </w:tcPr>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239" w:type="dxa"/>
            <w:vMerge w:val="continue"/>
          </w:tcPr>
          <w:p>
            <w:pPr>
              <w:spacing w:line="360" w:lineRule="auto"/>
              <w:jc w:val="center"/>
              <w:rPr>
                <w:rFonts w:ascii="仿宋_GB2312" w:hAnsi="仿宋_GB2312" w:eastAsia="仿宋_GB2312" w:cs="仿宋_GB2312"/>
                <w:b/>
                <w:sz w:val="28"/>
                <w:szCs w:val="28"/>
              </w:rPr>
            </w:pPr>
          </w:p>
        </w:tc>
        <w:tc>
          <w:tcPr>
            <w:tcW w:w="3129" w:type="dxa"/>
            <w:tcBorders>
              <w:top w:val="single" w:color="auto" w:sz="4" w:space="0"/>
            </w:tcBorders>
            <w:vAlign w:val="center"/>
          </w:tcPr>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sym w:font="Wingdings" w:char="00FE"/>
            </w:r>
            <w:r>
              <w:rPr>
                <w:rFonts w:hint="eastAsia" w:ascii="仿宋_GB2312" w:hAnsi="仿宋_GB2312" w:eastAsia="仿宋_GB2312" w:cs="仿宋_GB2312"/>
                <w:b/>
                <w:sz w:val="28"/>
                <w:szCs w:val="28"/>
              </w:rPr>
              <w:t xml:space="preserve"> 硕  士</w:t>
            </w:r>
          </w:p>
        </w:tc>
      </w:tr>
    </w:tbl>
    <w:p>
      <w:pPr>
        <w:pStyle w:val="4"/>
        <w:spacing w:line="360" w:lineRule="auto"/>
        <w:ind w:firstLine="560"/>
        <w:outlineLvl w:val="9"/>
        <w:rPr>
          <w:rFonts w:ascii="仿宋_GB2312" w:hAnsi="仿宋_GB2312" w:eastAsia="仿宋_GB2312" w:cs="仿宋_GB2312"/>
          <w:sz w:val="28"/>
          <w:szCs w:val="28"/>
        </w:rPr>
      </w:pPr>
    </w:p>
    <w:p>
      <w:pPr>
        <w:pStyle w:val="27"/>
        <w:widowControl/>
        <w:spacing w:line="360" w:lineRule="auto"/>
        <w:ind w:firstLine="560"/>
        <w:rPr>
          <w:rStyle w:val="26"/>
          <w:rFonts w:ascii="仿宋_GB2312" w:hAnsi="仿宋_GB2312" w:eastAsia="仿宋_GB2312" w:cs="仿宋_GB2312"/>
          <w:color w:val="auto"/>
          <w:sz w:val="28"/>
          <w:szCs w:val="28"/>
        </w:rPr>
      </w:pPr>
    </w:p>
    <w:p>
      <w:pPr>
        <w:spacing w:line="360" w:lineRule="auto"/>
        <w:jc w:val="center"/>
        <w:textAlignment w:val="baseline"/>
        <w:rPr>
          <w:rStyle w:val="26"/>
          <w:rFonts w:ascii="仿宋_GB2312" w:hAnsi="仿宋_GB2312" w:eastAsia="仿宋_GB2312" w:cs="仿宋_GB2312"/>
          <w:b/>
          <w:sz w:val="28"/>
          <w:szCs w:val="28"/>
        </w:rPr>
      </w:pPr>
    </w:p>
    <w:p>
      <w:pPr>
        <w:spacing w:line="360" w:lineRule="auto"/>
        <w:jc w:val="center"/>
        <w:textAlignment w:val="baseline"/>
        <w:rPr>
          <w:rStyle w:val="26"/>
          <w:rFonts w:ascii="仿宋_GB2312" w:hAnsi="仿宋_GB2312" w:eastAsia="仿宋_GB2312" w:cs="仿宋_GB2312"/>
          <w:sz w:val="28"/>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26"/>
          <w:rFonts w:hint="eastAsia" w:ascii="仿宋_GB2312" w:hAnsi="仿宋_GB2312" w:eastAsia="仿宋_GB2312" w:cs="仿宋_GB2312"/>
          <w:b/>
          <w:sz w:val="28"/>
          <w:szCs w:val="28"/>
        </w:rPr>
        <w:t>2021 年12月</w:t>
      </w:r>
      <w:r>
        <w:rPr>
          <w:rStyle w:val="26"/>
          <w:rFonts w:hint="eastAsia" w:ascii="仿宋_GB2312" w:hAnsi="仿宋_GB2312" w:eastAsia="仿宋_GB2312" w:cs="仿宋_GB2312"/>
          <w:b/>
          <w:sz w:val="28"/>
          <w:szCs w:val="28"/>
          <w:lang w:val="en-US"/>
        </w:rPr>
        <w:t>31</w:t>
      </w:r>
      <w:r>
        <w:rPr>
          <w:rStyle w:val="26"/>
          <w:rFonts w:hint="eastAsia" w:ascii="仿宋_GB2312" w:hAnsi="仿宋_GB2312" w:eastAsia="仿宋_GB2312" w:cs="仿宋_GB2312"/>
          <w:b/>
          <w:sz w:val="28"/>
          <w:szCs w:val="28"/>
        </w:rPr>
        <w:t>日</w:t>
      </w:r>
    </w:p>
    <w:p>
      <w:pPr>
        <w:pStyle w:val="10"/>
        <w:rPr>
          <w:rStyle w:val="26"/>
          <w:rFonts w:hint="eastAsia" w:ascii="仿宋_GB2312" w:hAnsi="仿宋_GB2312" w:eastAsia="仿宋_GB2312" w:cs="仿宋_GB2312"/>
          <w:b/>
          <w:sz w:val="28"/>
          <w:szCs w:val="28"/>
        </w:rPr>
      </w:pPr>
    </w:p>
    <w:sdt>
      <w:sdtPr>
        <w:rPr>
          <w:rFonts w:ascii="宋体" w:hAnsi="宋体" w:eastAsia="宋体" w:cs="Times New Roman"/>
          <w:kern w:val="2"/>
          <w:sz w:val="21"/>
          <w:szCs w:val="24"/>
          <w:lang w:val="en-US" w:eastAsia="zh-CN" w:bidi="ar-SA"/>
        </w:rPr>
        <w:id w:val="147480862"/>
        <w15:color w:val="DBDBDB"/>
        <w:docPartObj>
          <w:docPartGallery w:val="Table of Contents"/>
          <w:docPartUnique/>
        </w:docPartObj>
      </w:sdtPr>
      <w:sdtEndPr>
        <w:rPr>
          <w:rFonts w:hint="eastAsia" w:ascii="宋体" w:hAnsi="宋体" w:eastAsia="宋体" w:cs="宋体"/>
          <w:b/>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after="0" w:line="264" w:lineRule="auto"/>
            <w:ind w:left="0" w:leftChars="0" w:right="0" w:rightChars="0" w:firstLine="0" w:firstLineChars="0"/>
            <w:jc w:val="center"/>
            <w:textAlignment w:val="auto"/>
          </w:pPr>
          <w:r>
            <w:rPr>
              <w:rFonts w:hint="eastAsia" w:ascii="宋体" w:hAnsi="宋体" w:eastAsia="宋体" w:cs="宋体"/>
              <w:b/>
              <w:bCs/>
              <w:sz w:val="28"/>
              <w:szCs w:val="28"/>
            </w:rPr>
            <w:t>目</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录</w:t>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Style w:val="26"/>
              <w:rFonts w:hint="eastAsia" w:ascii="宋体" w:hAnsi="宋体" w:eastAsia="宋体" w:cs="宋体"/>
              <w:b/>
              <w:sz w:val="28"/>
              <w:szCs w:val="28"/>
            </w:rPr>
            <w:fldChar w:fldCharType="begin"/>
          </w:r>
          <w:r>
            <w:rPr>
              <w:rStyle w:val="26"/>
              <w:rFonts w:hint="eastAsia" w:ascii="宋体" w:hAnsi="宋体" w:eastAsia="宋体" w:cs="宋体"/>
              <w:b/>
              <w:sz w:val="28"/>
              <w:szCs w:val="28"/>
            </w:rPr>
            <w:instrText xml:space="preserve">TOC \o "1-2" \h \u </w:instrText>
          </w:r>
          <w:r>
            <w:rPr>
              <w:rStyle w:val="26"/>
              <w:rFonts w:hint="eastAsia" w:ascii="宋体" w:hAnsi="宋体" w:eastAsia="宋体" w:cs="宋体"/>
              <w:b/>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1</w:t>
          </w:r>
          <w:r>
            <w:rPr>
              <w:rFonts w:hint="eastAsia" w:ascii="宋体" w:hAnsi="宋体" w:eastAsia="宋体" w:cs="宋体"/>
              <w:bCs/>
              <w:sz w:val="28"/>
              <w:szCs w:val="28"/>
            </w:rPr>
            <w:t>总体概况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_Toc31410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1.1学位授权点基本情况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_Toc31410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_Toc25901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1.2学位建设情况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_Toc25901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_Toc5846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1.3研究生招生、在读基本状况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_Toc5846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_Toc31811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1.4 研究生导师总体情况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_Toc31811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_Toc13232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2研究生党建与思想政治教育工作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_Toc13232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_Toc4475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2.1加强研究生的思想政治教育工作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_Toc4475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_Toc31320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2.2树立研究生的理想信念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_Toc31320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_Toc19896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2.3倡导形成优良学风和学术氛围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_Toc19896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_Toc11169 </w:instrText>
          </w:r>
          <w:r>
            <w:rPr>
              <w:rFonts w:hint="eastAsia" w:ascii="宋体" w:hAnsi="宋体" w:eastAsia="宋体" w:cs="宋体"/>
              <w:sz w:val="28"/>
              <w:szCs w:val="28"/>
            </w:rPr>
            <w:fldChar w:fldCharType="separate"/>
          </w:r>
          <w:r>
            <w:rPr>
              <w:rFonts w:hint="eastAsia" w:ascii="宋体" w:hAnsi="宋体" w:eastAsia="宋体" w:cs="宋体"/>
              <w:bCs/>
              <w:kern w:val="2"/>
              <w:sz w:val="28"/>
              <w:szCs w:val="28"/>
              <w:lang w:val="en-US" w:eastAsia="zh-CN" w:bidi="ar-SA"/>
            </w:rPr>
            <w:t>3研究生培养相关制定及执行情况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_Toc11169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_Toc17404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3.1</w:t>
          </w:r>
          <w:r>
            <w:rPr>
              <w:rFonts w:hint="eastAsia" w:ascii="宋体" w:hAnsi="宋体" w:eastAsia="宋体" w:cs="宋体"/>
              <w:bCs/>
              <w:sz w:val="28"/>
              <w:szCs w:val="28"/>
            </w:rPr>
            <w:t>课程建设与实施情况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_Toc17404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_Toc30234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3.2硕导选拔、培训与考核</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_Toc30234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_Toc31200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3.3加强</w:t>
          </w:r>
          <w:r>
            <w:rPr>
              <w:rFonts w:hint="eastAsia" w:ascii="宋体" w:hAnsi="宋体" w:eastAsia="宋体" w:cs="宋体"/>
              <w:bCs/>
              <w:sz w:val="28"/>
              <w:szCs w:val="28"/>
            </w:rPr>
            <w:t>师德师风</w:t>
          </w:r>
          <w:r>
            <w:rPr>
              <w:rFonts w:hint="eastAsia" w:ascii="宋体" w:hAnsi="宋体" w:eastAsia="宋体" w:cs="宋体"/>
              <w:bCs/>
              <w:sz w:val="28"/>
              <w:szCs w:val="28"/>
              <w:lang w:eastAsia="zh-CN"/>
            </w:rPr>
            <w:t>和业务培训</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_Toc31200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_Toc15639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3.6构筑完善的</w:t>
          </w:r>
          <w:r>
            <w:rPr>
              <w:rFonts w:hint="eastAsia" w:ascii="宋体" w:hAnsi="宋体" w:eastAsia="宋体" w:cs="宋体"/>
              <w:bCs/>
              <w:sz w:val="28"/>
              <w:szCs w:val="28"/>
            </w:rPr>
            <w:t>研究生奖助</w:t>
          </w:r>
          <w:r>
            <w:rPr>
              <w:rFonts w:hint="eastAsia" w:ascii="宋体" w:hAnsi="宋体" w:eastAsia="宋体" w:cs="宋体"/>
              <w:bCs/>
              <w:sz w:val="28"/>
              <w:szCs w:val="28"/>
              <w:lang w:eastAsia="zh-CN"/>
            </w:rPr>
            <w:t>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_Toc15639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_Toc28938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4</w:t>
          </w:r>
          <w:r>
            <w:rPr>
              <w:rFonts w:hint="eastAsia" w:ascii="宋体" w:hAnsi="宋体" w:eastAsia="宋体" w:cs="宋体"/>
              <w:bCs/>
              <w:sz w:val="28"/>
              <w:szCs w:val="28"/>
            </w:rPr>
            <w:t>研究生教育改革情况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_Toc28938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_Toc24797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4.2</w:t>
          </w:r>
          <w:r>
            <w:rPr>
              <w:rFonts w:hint="eastAsia" w:ascii="宋体" w:hAnsi="宋体" w:eastAsia="宋体" w:cs="宋体"/>
              <w:bCs/>
              <w:sz w:val="28"/>
              <w:szCs w:val="28"/>
            </w:rPr>
            <w:t>教师队伍建设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_Toc24797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_Toc8461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4.3</w:t>
          </w:r>
          <w:r>
            <w:rPr>
              <w:rFonts w:hint="eastAsia" w:ascii="宋体" w:hAnsi="宋体" w:eastAsia="宋体" w:cs="宋体"/>
              <w:bCs/>
              <w:sz w:val="28"/>
              <w:szCs w:val="28"/>
            </w:rPr>
            <w:t>科学研究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_Toc8461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_Toc22897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4.4</w:t>
          </w:r>
          <w:r>
            <w:rPr>
              <w:rFonts w:hint="eastAsia" w:ascii="宋体" w:hAnsi="宋体" w:eastAsia="宋体" w:cs="宋体"/>
              <w:bCs/>
              <w:sz w:val="28"/>
              <w:szCs w:val="28"/>
            </w:rPr>
            <w:t>传承创新优秀文化</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_Toc22897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_Toc3481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5</w:t>
          </w:r>
          <w:r>
            <w:rPr>
              <w:rFonts w:hint="eastAsia" w:ascii="宋体" w:hAnsi="宋体" w:eastAsia="宋体" w:cs="宋体"/>
              <w:bCs/>
              <w:sz w:val="28"/>
              <w:szCs w:val="28"/>
            </w:rPr>
            <w:t>教育质量评估与分析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_Toc3481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_Toc16535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5.2</w:t>
          </w:r>
          <w:r>
            <w:rPr>
              <w:rFonts w:hint="eastAsia" w:ascii="宋体" w:hAnsi="宋体" w:eastAsia="宋体" w:cs="宋体"/>
              <w:bCs/>
              <w:sz w:val="28"/>
              <w:szCs w:val="28"/>
              <w:lang w:eastAsia="zh-CN"/>
            </w:rPr>
            <w:t>中期检查情况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_Toc16535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_Toc17129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eastAsia="zh-CN"/>
            </w:rPr>
            <w:t>5.3预答辩</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_Toc17129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_Toc3328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6</w:t>
          </w:r>
          <w:r>
            <w:rPr>
              <w:rFonts w:hint="eastAsia" w:ascii="宋体" w:hAnsi="宋体" w:eastAsia="宋体" w:cs="宋体"/>
              <w:bCs/>
              <w:sz w:val="28"/>
              <w:szCs w:val="28"/>
            </w:rPr>
            <w:t>改进措施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_Toc3328 \h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_Toc4808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6.1</w:t>
          </w:r>
          <w:r>
            <w:rPr>
              <w:rFonts w:hint="eastAsia" w:ascii="宋体" w:hAnsi="宋体" w:eastAsia="宋体" w:cs="宋体"/>
              <w:bCs/>
              <w:sz w:val="28"/>
              <w:szCs w:val="28"/>
            </w:rPr>
            <w:t>存在的问题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_Toc4808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val="0"/>
            <w:snapToGrid w:val="0"/>
            <w:spacing w:line="336"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_Toc4027 </w:instrText>
          </w:r>
          <w:r>
            <w:rPr>
              <w:rFonts w:hint="eastAsia" w:ascii="宋体" w:hAnsi="宋体" w:eastAsia="宋体" w:cs="宋体"/>
              <w:sz w:val="28"/>
              <w:szCs w:val="28"/>
            </w:rPr>
            <w:fldChar w:fldCharType="separate"/>
          </w:r>
          <w:r>
            <w:rPr>
              <w:rFonts w:hint="eastAsia" w:ascii="宋体" w:hAnsi="宋体" w:eastAsia="宋体" w:cs="宋体"/>
              <w:bCs/>
              <w:sz w:val="28"/>
              <w:szCs w:val="28"/>
              <w:lang w:val="en-US"/>
            </w:rPr>
            <w:t>6.2</w:t>
          </w:r>
          <w:r>
            <w:rPr>
              <w:rFonts w:hint="eastAsia" w:ascii="宋体" w:hAnsi="宋体" w:eastAsia="宋体" w:cs="宋体"/>
              <w:bCs/>
              <w:sz w:val="28"/>
              <w:szCs w:val="28"/>
            </w:rPr>
            <w:t>改进措施和建议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_Toc4027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keepNext w:val="0"/>
            <w:keepLines w:val="0"/>
            <w:pageBreakBefore w:val="0"/>
            <w:widowControl w:val="0"/>
            <w:kinsoku/>
            <w:wordWrap/>
            <w:overflowPunct/>
            <w:topLinePunct w:val="0"/>
            <w:autoSpaceDE/>
            <w:autoSpaceDN/>
            <w:bidi w:val="0"/>
            <w:adjustRightInd w:val="0"/>
            <w:snapToGrid w:val="0"/>
            <w:spacing w:line="336" w:lineRule="auto"/>
            <w:ind w:left="0" w:leftChars="0"/>
            <w:textAlignment w:val="auto"/>
            <w:rPr>
              <w:rStyle w:val="26"/>
              <w:rFonts w:hint="eastAsia" w:ascii="宋体" w:hAnsi="宋体" w:eastAsia="宋体" w:cs="宋体"/>
              <w:b/>
              <w:sz w:val="28"/>
              <w:szCs w:val="28"/>
            </w:rPr>
          </w:pPr>
          <w:r>
            <w:rPr>
              <w:rFonts w:hint="eastAsia" w:ascii="宋体" w:hAnsi="宋体" w:eastAsia="宋体" w:cs="宋体"/>
              <w:sz w:val="28"/>
              <w:szCs w:val="28"/>
            </w:rPr>
            <w:fldChar w:fldCharType="end"/>
          </w:r>
        </w:p>
      </w:sdtContent>
    </w:sdt>
    <w:p>
      <w:pPr>
        <w:pStyle w:val="10"/>
        <w:rPr>
          <w:rStyle w:val="26"/>
          <w:rFonts w:hint="eastAsia" w:ascii="仿宋_GB2312" w:hAnsi="仿宋_GB2312" w:eastAsia="仿宋_GB2312" w:cs="仿宋_GB2312"/>
          <w:b/>
          <w:sz w:val="28"/>
          <w:szCs w:val="28"/>
        </w:rPr>
      </w:pPr>
    </w:p>
    <w:p>
      <w:pPr>
        <w:tabs>
          <w:tab w:val="center" w:pos="4139"/>
          <w:tab w:val="left" w:pos="7545"/>
          <w:tab w:val="right" w:leader="middleDot" w:pos="7740"/>
        </w:tabs>
        <w:spacing w:before="480" w:after="360"/>
        <w:jc w:val="both"/>
        <w:outlineLvl w:val="0"/>
        <w:rPr>
          <w:rFonts w:hint="eastAsia" w:ascii="黑体" w:hAnsi="Times New Roman" w:eastAsia="黑体" w:cs="Times New Roman"/>
          <w:b/>
          <w:bCs/>
          <w:sz w:val="32"/>
          <w:szCs w:val="32"/>
        </w:rPr>
      </w:pPr>
      <w:bookmarkStart w:id="0" w:name="_Toc152"/>
      <w:r>
        <w:rPr>
          <w:rFonts w:hint="eastAsia" w:ascii="黑体" w:hAnsi="Times New Roman" w:eastAsia="黑体" w:cs="Times New Roman"/>
          <w:b/>
          <w:bCs/>
          <w:sz w:val="32"/>
          <w:szCs w:val="32"/>
          <w:lang w:val="en-US"/>
        </w:rPr>
        <w:t>1</w:t>
      </w:r>
      <w:r>
        <w:rPr>
          <w:rFonts w:hint="eastAsia" w:ascii="黑体" w:hAnsi="Times New Roman" w:eastAsia="黑体" w:cs="Times New Roman"/>
          <w:b/>
          <w:bCs/>
          <w:sz w:val="32"/>
          <w:szCs w:val="32"/>
        </w:rPr>
        <w:t>总体概况</w:t>
      </w:r>
      <w:bookmarkEnd w:id="0"/>
    </w:p>
    <w:p>
      <w:pPr>
        <w:spacing w:before="480" w:after="120"/>
        <w:outlineLvl w:val="1"/>
        <w:rPr>
          <w:rFonts w:hint="eastAsia" w:ascii="黑体" w:hAnsi="Times New Roman" w:eastAsia="黑体" w:cs="Times New Roman"/>
          <w:b/>
          <w:bCs/>
          <w:sz w:val="28"/>
          <w:szCs w:val="28"/>
          <w:lang w:val="en-US" w:eastAsia="zh-CN"/>
        </w:rPr>
      </w:pPr>
      <w:bookmarkStart w:id="1" w:name="_Toc31410"/>
      <w:r>
        <w:rPr>
          <w:rFonts w:hint="eastAsia" w:ascii="黑体" w:hAnsi="Times New Roman" w:eastAsia="黑体" w:cs="Times New Roman"/>
          <w:b/>
          <w:bCs/>
          <w:sz w:val="28"/>
          <w:szCs w:val="28"/>
          <w:lang w:val="en-US" w:eastAsia="zh-CN"/>
        </w:rPr>
        <w:t>1.1学位授权点基本情况</w:t>
      </w:r>
      <w:bookmarkEnd w:id="1"/>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江西科技师范大学坐落于享有“物华天宝、人杰地灵”盛誉的历史文化名城、“军旗升起的地方”——南昌。学校是教育部重点建设的培养职业教育师资的公办多科性本科院校、全国职业教育研究的重要基地、全国职业教育师资培养培训重点建设基地、全国最早独立设置的八所职业技术师范院校之一，是江西省公费师范生培养高校，主要培养职教师资、普教师资和其他应用型高级专门人才。经过近70年的建设与发展，学校形成了以本科、研究生教育为主体的多学科、多层次的办学格局。</w:t>
      </w:r>
    </w:p>
    <w:p>
      <w:pPr>
        <w:spacing w:line="288"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我校国际商务专业硕士学位授权点依托商学院国际经济与贸易、电子商务和物流管理等三个本科专业，培养具有社会责任感与职业道德、全球视野和创新意识、国际商务专业技能与素养、跨文化沟通能力，能够胜任国际化经营与管理工作的国际化、高层次、应用型、复合型专门人才为目标的专业学位教育项目。</w:t>
      </w:r>
    </w:p>
    <w:p>
      <w:pPr>
        <w:spacing w:line="288"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我校国际商务专业硕士学位授权点招生</w:t>
      </w:r>
      <w:r>
        <w:rPr>
          <w:rFonts w:hint="eastAsia" w:ascii="宋体" w:hAnsi="宋体" w:eastAsia="宋体" w:cs="Times New Roman"/>
          <w:sz w:val="24"/>
          <w:lang w:val="en-US" w:eastAsia="zh-CN"/>
        </w:rPr>
        <w:t>2018年获得批准，2019年开始招生，当年招生13人，2020年招生15人，2021年招生17人。总体来看，我校国际商务专业硕士招生人数较为稳定，生源质量较好。</w:t>
      </w:r>
      <w:r>
        <w:rPr>
          <w:rFonts w:hint="eastAsia" w:ascii="宋体" w:hAnsi="宋体" w:eastAsia="宋体" w:cs="Times New Roman"/>
          <w:sz w:val="24"/>
          <w:lang w:eastAsia="zh-CN"/>
        </w:rPr>
        <w:t>该专业学位点立足南昌，服务江西地方经济发展，积极参与国家“一带一路”发展战略，主动对接长珠闽，深度融入大湾区，为实现江西经济社会发展培养中高级国际化应用型商务人才。为策应江西省“2+6+N”产业跨越式发展行动计划、六大优势产业、数字经济“一号发展工程”等重大发展战略，我校国际商务学科教师积极围绕江西省发展战略开展研究，并围绕国际贸易、现代物流和供应链、数字经济和跨境电子商务综试区等进行学位论文选题和研究，希望能为我省国际商务、现代物流和数字经济发展提供智力支持和政策参考，为我省国际商务、现代物流、数字经济发展培养“有知识、懂商务、会管理”的高层次优秀人才。</w:t>
      </w:r>
    </w:p>
    <w:p>
      <w:pPr>
        <w:spacing w:before="480" w:after="120"/>
        <w:outlineLvl w:val="1"/>
        <w:rPr>
          <w:rFonts w:hint="eastAsia" w:ascii="黑体" w:hAnsi="Times New Roman" w:eastAsia="黑体" w:cs="Times New Roman"/>
          <w:b/>
          <w:bCs/>
          <w:sz w:val="28"/>
          <w:szCs w:val="28"/>
          <w:lang w:val="en-US" w:eastAsia="zh-CN"/>
        </w:rPr>
      </w:pPr>
      <w:bookmarkStart w:id="2" w:name="_Toc25901"/>
      <w:r>
        <w:rPr>
          <w:rFonts w:hint="eastAsia" w:ascii="黑体" w:hAnsi="Times New Roman" w:eastAsia="黑体" w:cs="Times New Roman"/>
          <w:b/>
          <w:bCs/>
          <w:sz w:val="28"/>
          <w:szCs w:val="28"/>
          <w:lang w:val="en-US" w:eastAsia="zh-CN"/>
        </w:rPr>
        <w:t>1.2学位建设情况</w:t>
      </w:r>
      <w:bookmarkEnd w:id="2"/>
    </w:p>
    <w:p>
      <w:pPr>
        <w:spacing w:line="288"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我校</w:t>
      </w:r>
      <w:r>
        <w:rPr>
          <w:rFonts w:hint="eastAsia" w:ascii="宋体" w:hAnsi="宋体" w:eastAsia="宋体" w:cs="Times New Roman"/>
          <w:sz w:val="24"/>
          <w:lang w:eastAsia="zh-CN"/>
        </w:rPr>
        <w:t>国际商务专硕主要设置国际贸易、跨境电子商务和国际经济合作三个研究方向。如表</w:t>
      </w:r>
      <w:r>
        <w:rPr>
          <w:rFonts w:hint="eastAsia" w:ascii="宋体" w:hAnsi="宋体" w:eastAsia="宋体" w:cs="Times New Roman"/>
          <w:sz w:val="24"/>
          <w:lang w:val="en-US" w:eastAsia="zh-CN"/>
        </w:rPr>
        <w:t>1-1所示。</w:t>
      </w:r>
    </w:p>
    <w:p>
      <w:pPr>
        <w:spacing w:line="288" w:lineRule="auto"/>
        <w:ind w:firstLine="480" w:firstLineChars="200"/>
        <w:rPr>
          <w:rFonts w:hint="eastAsia" w:ascii="宋体" w:hAnsi="宋体" w:eastAsia="宋体" w:cs="Times New Roman"/>
          <w:sz w:val="24"/>
          <w:lang w:val="en-US" w:eastAsia="zh-CN"/>
        </w:rPr>
      </w:pPr>
    </w:p>
    <w:p>
      <w:pPr>
        <w:spacing w:line="288" w:lineRule="auto"/>
        <w:ind w:firstLine="480" w:firstLineChars="200"/>
        <w:rPr>
          <w:rFonts w:hint="eastAsia" w:ascii="宋体" w:hAnsi="宋体" w:eastAsia="宋体" w:cs="Times New Roman"/>
          <w:sz w:val="24"/>
          <w:lang w:val="en-US" w:eastAsia="zh-CN"/>
        </w:rPr>
      </w:pPr>
    </w:p>
    <w:p>
      <w:pPr>
        <w:spacing w:line="288" w:lineRule="auto"/>
        <w:ind w:firstLine="480" w:firstLineChars="200"/>
        <w:rPr>
          <w:rFonts w:hint="eastAsia" w:ascii="宋体" w:hAnsi="宋体" w:eastAsia="宋体" w:cs="Times New Roman"/>
          <w:sz w:val="24"/>
          <w:lang w:val="en-US" w:eastAsia="zh-CN"/>
        </w:rPr>
      </w:pPr>
    </w:p>
    <w:p>
      <w:pPr>
        <w:spacing w:line="288" w:lineRule="auto"/>
        <w:ind w:firstLine="480" w:firstLineChars="200"/>
        <w:rPr>
          <w:rFonts w:hint="default" w:ascii="宋体" w:hAnsi="宋体" w:eastAsia="宋体" w:cs="Times New Roman"/>
          <w:sz w:val="24"/>
          <w:lang w:val="en-US" w:eastAsia="zh-CN"/>
        </w:rPr>
      </w:pPr>
    </w:p>
    <w:p>
      <w:pPr>
        <w:spacing w:before="156" w:beforeLines="50" w:after="156" w:afterLines="50" w:line="300" w:lineRule="auto"/>
        <w:ind w:firstLine="539" w:firstLineChars="257"/>
        <w:jc w:val="center"/>
        <w:rPr>
          <w:rFonts w:hint="eastAsia" w:ascii="宋体" w:hAnsi="宋体" w:eastAsia="宋体" w:cs="Times New Roman"/>
          <w:sz w:val="21"/>
          <w:lang w:eastAsia="zh-CN"/>
        </w:rPr>
      </w:pPr>
      <w:r>
        <w:rPr>
          <w:rFonts w:hint="eastAsia" w:ascii="宋体" w:hAnsi="宋体" w:eastAsia="宋体" w:cs="Times New Roman"/>
          <w:sz w:val="21"/>
          <w:lang w:eastAsia="zh-CN"/>
        </w:rPr>
        <w:t>表</w:t>
      </w:r>
      <w:r>
        <w:rPr>
          <w:rFonts w:hint="eastAsia" w:ascii="宋体" w:hAnsi="宋体" w:eastAsia="宋体" w:cs="Times New Roman"/>
          <w:sz w:val="21"/>
          <w:lang w:val="en-US" w:eastAsia="zh-CN"/>
        </w:rPr>
        <w:t>1-</w:t>
      </w:r>
      <w:r>
        <w:rPr>
          <w:rFonts w:hint="eastAsia" w:ascii="宋体" w:hAnsi="宋体" w:eastAsia="宋体" w:cs="Times New Roman"/>
          <w:sz w:val="21"/>
          <w:lang w:eastAsia="zh-CN"/>
        </w:rPr>
        <w:t>1 国际商务专业研究方向设置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研究方向</w:t>
            </w:r>
          </w:p>
        </w:tc>
        <w:tc>
          <w:tcPr>
            <w:tcW w:w="5655"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定位及特色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国际贸易</w:t>
            </w:r>
          </w:p>
        </w:tc>
        <w:tc>
          <w:tcPr>
            <w:tcW w:w="5655"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基于中国现有对外贸易环境，研究中国与世界各国尤其是与“一带一路”沿线国家间的国际贸易的平衡、模式和发展方向。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跨境电子商务</w:t>
            </w:r>
          </w:p>
        </w:tc>
        <w:tc>
          <w:tcPr>
            <w:tcW w:w="5655"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基于中小企业发展现状，研究中小型企业国际商务活动中的电子商务营销、电子支付和网络安全等。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国际经济合作</w:t>
            </w:r>
          </w:p>
        </w:tc>
        <w:tc>
          <w:tcPr>
            <w:tcW w:w="5655" w:type="dxa"/>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基于“一带一路”背景，研究中国与各国开展的国际经济合作中的机制、模式和基本规律。</w:t>
            </w:r>
          </w:p>
        </w:tc>
      </w:tr>
    </w:tbl>
    <w:p>
      <w:pPr>
        <w:pStyle w:val="10"/>
        <w:rPr>
          <w:rFonts w:hint="eastAsia" w:ascii="仿宋_GB2312" w:hAnsi="仿宋_GB2312" w:eastAsia="仿宋_GB2312" w:cs="仿宋_GB2312"/>
          <w:sz w:val="28"/>
          <w:szCs w:val="28"/>
          <w:lang w:eastAsia="zh-CN"/>
        </w:rPr>
      </w:pPr>
    </w:p>
    <w:p>
      <w:pPr>
        <w:spacing w:before="480" w:after="120"/>
        <w:outlineLvl w:val="1"/>
        <w:rPr>
          <w:rFonts w:hint="eastAsia" w:ascii="黑体" w:hAnsi="Times New Roman" w:eastAsia="黑体" w:cs="Times New Roman"/>
          <w:b/>
          <w:bCs/>
          <w:sz w:val="28"/>
          <w:szCs w:val="28"/>
        </w:rPr>
      </w:pPr>
      <w:bookmarkStart w:id="3" w:name="_Toc5846"/>
      <w:r>
        <w:rPr>
          <w:rFonts w:hint="eastAsia" w:ascii="黑体" w:hAnsi="Times New Roman" w:eastAsia="黑体" w:cs="Times New Roman"/>
          <w:b/>
          <w:bCs/>
          <w:sz w:val="28"/>
          <w:szCs w:val="28"/>
          <w:lang w:val="en-US" w:eastAsia="zh-CN"/>
        </w:rPr>
        <w:t>1.3研究生招生、在读基本状况</w:t>
      </w:r>
      <w:bookmarkEnd w:id="3"/>
    </w:p>
    <w:p>
      <w:pPr>
        <w:pStyle w:val="6"/>
        <w:spacing w:line="360" w:lineRule="auto"/>
        <w:ind w:left="0" w:leftChars="0"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2021年国际商务专硕招生17人、其中全日制17人，非全日制0人，在读3</w:t>
      </w:r>
      <w:r>
        <w:rPr>
          <w:rFonts w:hint="eastAsia"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人，招生人数较为稳定。</w:t>
      </w:r>
    </w:p>
    <w:p>
      <w:pPr>
        <w:spacing w:before="480" w:after="120"/>
        <w:outlineLvl w:val="1"/>
        <w:rPr>
          <w:rFonts w:hint="eastAsia" w:ascii="黑体" w:hAnsi="Times New Roman" w:eastAsia="黑体" w:cs="Times New Roman"/>
          <w:b/>
          <w:bCs/>
          <w:sz w:val="28"/>
          <w:szCs w:val="28"/>
        </w:rPr>
      </w:pPr>
      <w:bookmarkStart w:id="4" w:name="_Toc31811"/>
      <w:r>
        <w:rPr>
          <w:rFonts w:hint="eastAsia" w:ascii="黑体" w:hAnsi="Times New Roman" w:eastAsia="黑体" w:cs="Times New Roman"/>
          <w:b/>
          <w:bCs/>
          <w:sz w:val="28"/>
          <w:szCs w:val="28"/>
          <w:lang w:val="en-US" w:eastAsia="zh-CN"/>
        </w:rPr>
        <w:t>1.4 研究生导师总体情况</w:t>
      </w:r>
      <w:bookmarkEnd w:id="4"/>
    </w:p>
    <w:p>
      <w:pPr>
        <w:pStyle w:val="29"/>
        <w:spacing w:line="360" w:lineRule="auto"/>
        <w:ind w:firstLine="56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国际商务专业学位点现有专职教师20人，其中副教授以上职称教师10人，占50%，博士研究生学历10人，占50%，有国（境）外学习经历的教师4人，占20%，有行业经历教师6名，占30%。教师来源院校类型多样，学科结构、学缘结构和梯队结构合理，教师专业涉及应用经济学、理论经济学、管理科学与工程、工商管理、农林经济管理和</w:t>
      </w:r>
      <w:r>
        <w:rPr>
          <w:rFonts w:hint="eastAsia" w:ascii="宋体" w:hAnsi="宋体" w:eastAsia="宋体" w:cs="Times New Roman"/>
          <w:color w:val="auto"/>
          <w:kern w:val="2"/>
          <w:sz w:val="24"/>
          <w:szCs w:val="24"/>
          <w:lang w:val="en-US" w:eastAsia="zh-CN" w:bidi="ar-SA"/>
        </w:rPr>
        <w:t>教育学</w:t>
      </w:r>
      <w:bookmarkStart w:id="28" w:name="_GoBack"/>
      <w:bookmarkEnd w:id="28"/>
      <w:r>
        <w:rPr>
          <w:rFonts w:hint="eastAsia" w:ascii="宋体" w:hAnsi="宋体" w:eastAsia="宋体" w:cs="Times New Roman"/>
          <w:kern w:val="2"/>
          <w:sz w:val="24"/>
          <w:szCs w:val="24"/>
          <w:lang w:val="en-US" w:eastAsia="zh-CN" w:bidi="ar-SA"/>
        </w:rPr>
        <w:t>等六个一级学科，涵盖经济学和管理学两大学科门类。具体来看，国际商务专硕共设置国际贸易、跨境电子商务和国际经济合作三个方向，其中国际贸易方向教师7人、跨境电子商务方向7人、国际经济合作方向6人。 具体如表1-2所示。</w:t>
      </w: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w:t>
      </w:r>
      <w:r>
        <w:rPr>
          <w:rFonts w:hint="eastAsia" w:ascii="宋体" w:hAnsi="宋体" w:eastAsia="宋体" w:cs="Times New Roman"/>
          <w:sz w:val="21"/>
          <w:lang w:val="en-US"/>
        </w:rPr>
        <w:t xml:space="preserve">1-2 </w:t>
      </w:r>
      <w:r>
        <w:rPr>
          <w:rFonts w:hint="eastAsia" w:ascii="宋体" w:hAnsi="宋体" w:eastAsia="宋体" w:cs="Times New Roman"/>
          <w:sz w:val="21"/>
        </w:rPr>
        <w:t>校内导师师资情况</w:t>
      </w:r>
    </w:p>
    <w:tbl>
      <w:tblPr>
        <w:tblStyle w:val="13"/>
        <w:tblW w:w="50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3"/>
        <w:gridCol w:w="960"/>
        <w:gridCol w:w="1033"/>
        <w:gridCol w:w="748"/>
        <w:gridCol w:w="1740"/>
        <w:gridCol w:w="1714"/>
        <w:gridCol w:w="690"/>
        <w:gridCol w:w="760"/>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姓名</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职称</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学位</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毕业院校</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毕业专业</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年龄</w:t>
            </w:r>
          </w:p>
        </w:tc>
        <w:tc>
          <w:tcPr>
            <w:tcW w:w="438"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是否校级以上双师</w:t>
            </w:r>
          </w:p>
        </w:tc>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是否硕导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张定方</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中南林学院</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森林经理学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53</w:t>
            </w:r>
          </w:p>
        </w:tc>
        <w:tc>
          <w:tcPr>
            <w:tcW w:w="438"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李艳</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华中科技大学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控制工程</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47</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袁青燕</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管理理论与企业管理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45</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苏小玲</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产业经济学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rPr>
            </w:pPr>
            <w:r>
              <w:rPr>
                <w:rFonts w:hint="eastAsia" w:ascii="Times New Roman" w:hAnsi="Times New Roman" w:eastAsia="宋体" w:cs="Times New Roman"/>
                <w:color w:val="000000"/>
                <w:sz w:val="21"/>
                <w:lang w:val="en-US" w:eastAsia="zh-CN"/>
              </w:rPr>
              <w:t>49</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王凌洪</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财政学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53</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熊青龙</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厦门大学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世界经济</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44</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舒斯亮</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管理科学与工程</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40</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罗凤兰</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国际贸易</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rPr>
            </w:pPr>
            <w:r>
              <w:rPr>
                <w:rFonts w:hint="eastAsia" w:ascii="Times New Roman" w:hAnsi="Times New Roman" w:eastAsia="宋体" w:cs="Times New Roman"/>
                <w:color w:val="000000"/>
                <w:sz w:val="21"/>
                <w:lang w:val="en-US" w:eastAsia="zh-CN"/>
              </w:rPr>
              <w:t>48</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杨春季</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福建农林大学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涉农企业经营与管理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44</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陈明军</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副教授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学士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财政学会计学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51</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谢瑶</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北京师范大学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教育学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刘瑛</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江西师范大学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专门史（经济史）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42</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刘兰勇</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中央财经大学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政治经济学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34</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马伟伟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澳门城市大学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工商管理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熊娟娟</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财政学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31</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何富彩</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中国人民大学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经济史</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45</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杨振华</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在读博士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韩国牧园大学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国际工商管理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42</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刘晨</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云南师范大学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国际贸易学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30</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张世洪</w:t>
            </w:r>
          </w:p>
        </w:tc>
        <w:tc>
          <w:tcPr>
            <w:tcW w:w="5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日本城西大学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经济学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34</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刘巧</w:t>
            </w:r>
          </w:p>
        </w:tc>
        <w:tc>
          <w:tcPr>
            <w:tcW w:w="5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讲师</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韩国大田广城市培才大学</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国际通商学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36</w:t>
            </w:r>
          </w:p>
        </w:tc>
        <w:tc>
          <w:tcPr>
            <w:tcW w:w="438"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c>
          <w:tcPr>
            <w:tcW w:w="31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否</w:t>
            </w:r>
          </w:p>
        </w:tc>
      </w:tr>
    </w:tbl>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9"/>
        <w:spacing w:line="360" w:lineRule="auto"/>
        <w:ind w:firstLine="560"/>
        <w:jc w:val="left"/>
        <w:rPr>
          <w:rStyle w:val="26"/>
          <w:rFonts w:hint="eastAsia" w:ascii="仿宋_GB2312" w:hAnsi="仿宋_GB2312" w:eastAsia="仿宋_GB2312" w:cs="仿宋_GB2312"/>
          <w:sz w:val="28"/>
          <w:szCs w:val="28"/>
        </w:rPr>
      </w:pPr>
    </w:p>
    <w:p>
      <w:pPr>
        <w:pStyle w:val="2"/>
        <w:spacing w:line="360" w:lineRule="auto"/>
        <w:outlineLvl w:val="0"/>
        <w:rPr>
          <w:rStyle w:val="26"/>
          <w:rFonts w:ascii="仿宋_GB2312" w:hAnsi="仿宋_GB2312" w:eastAsia="仿宋_GB2312" w:cs="仿宋_GB2312"/>
          <w:b/>
          <w:bCs/>
          <w:color w:val="auto"/>
          <w:sz w:val="28"/>
          <w:szCs w:val="28"/>
        </w:rPr>
      </w:pPr>
      <w:bookmarkStart w:id="5" w:name="_Toc13232"/>
      <w:r>
        <w:rPr>
          <w:rFonts w:hint="eastAsia" w:ascii="黑体" w:hAnsi="Times New Roman" w:eastAsia="黑体" w:cs="Times New Roman"/>
          <w:b/>
          <w:bCs/>
          <w:kern w:val="2"/>
          <w:sz w:val="32"/>
          <w:szCs w:val="32"/>
          <w:lang w:val="en-US" w:eastAsia="zh-CN" w:bidi="ar-SA"/>
        </w:rPr>
        <w:t>2研究生党建与思想政治教育工作</w:t>
      </w:r>
      <w:bookmarkEnd w:id="5"/>
    </w:p>
    <w:p>
      <w:pPr>
        <w:spacing w:before="480" w:after="120"/>
        <w:outlineLvl w:val="1"/>
        <w:rPr>
          <w:rFonts w:hint="eastAsia" w:ascii="黑体" w:hAnsi="Times New Roman" w:eastAsia="黑体" w:cs="Times New Roman"/>
          <w:b/>
          <w:bCs/>
          <w:sz w:val="28"/>
          <w:szCs w:val="28"/>
          <w:lang w:val="en-US" w:eastAsia="zh-CN"/>
        </w:rPr>
      </w:pPr>
      <w:bookmarkStart w:id="6" w:name="_Toc4475"/>
      <w:r>
        <w:rPr>
          <w:rFonts w:hint="eastAsia" w:ascii="黑体" w:hAnsi="Times New Roman" w:eastAsia="黑体" w:cs="Times New Roman"/>
          <w:b/>
          <w:bCs/>
          <w:sz w:val="28"/>
          <w:szCs w:val="28"/>
          <w:lang w:val="en-US" w:eastAsia="zh-CN"/>
        </w:rPr>
        <w:t>2.1加强研究生的思想政治教育工作</w:t>
      </w:r>
      <w:bookmarkEnd w:id="6"/>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党政军民学，东西南北中，党是领导一切的”，高校必须牢牢把握“为党育人，为国育才”的初心使命，不断加强党委对思想政治工作的领导。学院党委会每年都会召开研究生思想政治工作会，加强研究生理想信念教育工作。积极组织研究生开展党史、新中国史、改革开放</w:t>
      </w:r>
      <w:r>
        <w:rPr>
          <w:rFonts w:hint="eastAsia" w:ascii="宋体" w:hAnsi="宋体" w:eastAsia="宋体" w:cs="Times New Roman"/>
          <w:sz w:val="24"/>
          <w:lang w:val="en-US"/>
        </w:rPr>
        <w:t>史</w:t>
      </w:r>
      <w:r>
        <w:rPr>
          <w:rFonts w:hint="eastAsia" w:ascii="宋体" w:hAnsi="宋体" w:eastAsia="宋体" w:cs="Times New Roman"/>
          <w:sz w:val="24"/>
        </w:rPr>
        <w:t>、社会主义发展史宣传教育，普及党史知识，推动党史学习深入人心。</w:t>
      </w:r>
    </w:p>
    <w:p>
      <w:pPr>
        <w:spacing w:before="480" w:after="120"/>
        <w:outlineLvl w:val="1"/>
        <w:rPr>
          <w:rFonts w:hint="eastAsia" w:ascii="黑体" w:hAnsi="Times New Roman" w:eastAsia="黑体" w:cs="Times New Roman"/>
          <w:b/>
          <w:bCs/>
          <w:sz w:val="28"/>
          <w:szCs w:val="28"/>
          <w:lang w:val="en-US" w:eastAsia="zh-CN"/>
        </w:rPr>
      </w:pPr>
      <w:bookmarkStart w:id="7" w:name="_Toc31320"/>
      <w:r>
        <w:rPr>
          <w:rFonts w:hint="eastAsia" w:ascii="黑体" w:hAnsi="Times New Roman" w:eastAsia="黑体" w:cs="Times New Roman"/>
          <w:b/>
          <w:bCs/>
          <w:sz w:val="28"/>
          <w:szCs w:val="28"/>
          <w:lang w:val="en-US" w:eastAsia="zh-CN"/>
        </w:rPr>
        <w:t>2.2树立研究生的理想信念</w:t>
      </w:r>
      <w:bookmarkEnd w:id="7"/>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积极推进全员全过程全方位育人，不断加强学生理想信念和社会主义核心价值观教育。不断挖掘课程思政的经济和管理资源，采用多种形式践行课程思政的育人效果，如将《习近平用典》、《习近平谈治国理政》等优秀书籍引入课堂，与专业知识形成协同效应，极大提高了课程思政育人效果。多位教师获批课程思政示范课程建设项目，为国际商务专硕点建设作出了榜样</w:t>
      </w:r>
      <w:r>
        <w:rPr>
          <w:rFonts w:hint="eastAsia" w:ascii="宋体" w:hAnsi="宋体" w:eastAsia="宋体" w:cs="Times New Roman"/>
          <w:sz w:val="24"/>
          <w:lang w:eastAsia="zh-CN"/>
        </w:rPr>
        <w:t>，如表</w:t>
      </w:r>
      <w:r>
        <w:rPr>
          <w:rFonts w:hint="eastAsia" w:ascii="宋体" w:hAnsi="宋体" w:eastAsia="宋体" w:cs="Times New Roman"/>
          <w:sz w:val="24"/>
          <w:lang w:val="en-US" w:eastAsia="zh-CN"/>
        </w:rPr>
        <w:t>2-1所示</w:t>
      </w:r>
      <w:r>
        <w:rPr>
          <w:rFonts w:hint="eastAsia" w:ascii="宋体" w:hAnsi="宋体" w:eastAsia="宋体" w:cs="Times New Roman"/>
          <w:sz w:val="24"/>
        </w:rPr>
        <w:t>。</w:t>
      </w:r>
    </w:p>
    <w:p>
      <w:pPr>
        <w:spacing w:before="156" w:beforeLines="50" w:after="156" w:afterLines="50" w:line="300" w:lineRule="auto"/>
        <w:ind w:firstLine="539" w:firstLineChars="257"/>
        <w:jc w:val="center"/>
        <w:rPr>
          <w:rFonts w:hint="eastAsia" w:ascii="宋体" w:hAnsi="宋体" w:eastAsia="宋体" w:cs="Times New Roman"/>
          <w:sz w:val="21"/>
          <w:lang w:eastAsia="zh-CN"/>
        </w:rPr>
      </w:pPr>
      <w:r>
        <w:rPr>
          <w:rFonts w:hint="eastAsia" w:ascii="宋体" w:hAnsi="宋体" w:eastAsia="宋体" w:cs="Times New Roman"/>
          <w:sz w:val="21"/>
        </w:rPr>
        <w:t>表</w:t>
      </w:r>
      <w:r>
        <w:rPr>
          <w:rFonts w:hint="eastAsia" w:ascii="宋体" w:hAnsi="宋体" w:eastAsia="宋体" w:cs="Times New Roman"/>
          <w:sz w:val="21"/>
          <w:lang w:val="en-US" w:eastAsia="zh-CN"/>
        </w:rPr>
        <w:t>2-1</w:t>
      </w:r>
      <w:r>
        <w:rPr>
          <w:rFonts w:hint="eastAsia" w:ascii="宋体" w:hAnsi="宋体" w:eastAsia="宋体" w:cs="Times New Roman"/>
          <w:sz w:val="21"/>
        </w:rPr>
        <w:t xml:space="preserve"> </w:t>
      </w:r>
      <w:r>
        <w:rPr>
          <w:rFonts w:hint="eastAsia" w:ascii="宋体" w:hAnsi="宋体" w:eastAsia="宋体" w:cs="Times New Roman"/>
          <w:sz w:val="21"/>
          <w:lang w:val="en-US" w:eastAsia="zh-CN"/>
        </w:rPr>
        <w:t>2021</w:t>
      </w:r>
      <w:r>
        <w:rPr>
          <w:rFonts w:hint="eastAsia" w:ascii="宋体" w:hAnsi="宋体" w:eastAsia="宋体" w:cs="Times New Roman"/>
          <w:sz w:val="21"/>
        </w:rPr>
        <w:t>年</w:t>
      </w:r>
      <w:r>
        <w:rPr>
          <w:rFonts w:hint="eastAsia" w:ascii="宋体" w:hAnsi="宋体" w:eastAsia="宋体" w:cs="Times New Roman"/>
          <w:sz w:val="21"/>
          <w:lang w:eastAsia="zh-CN"/>
        </w:rPr>
        <w:t>课程思政建设情况</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92"/>
        <w:gridCol w:w="1152"/>
        <w:gridCol w:w="1153"/>
        <w:gridCol w:w="1164"/>
        <w:gridCol w:w="1091"/>
        <w:gridCol w:w="100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1292"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成果名称</w:t>
            </w:r>
          </w:p>
        </w:tc>
        <w:tc>
          <w:tcPr>
            <w:tcW w:w="1152"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奖项类型</w:t>
            </w:r>
          </w:p>
        </w:tc>
        <w:tc>
          <w:tcPr>
            <w:tcW w:w="115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奖项等级</w:t>
            </w:r>
          </w:p>
        </w:tc>
        <w:tc>
          <w:tcPr>
            <w:tcW w:w="1164"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成果完成人</w:t>
            </w:r>
          </w:p>
        </w:tc>
        <w:tc>
          <w:tcPr>
            <w:tcW w:w="1091"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单位署名次序</w:t>
            </w:r>
          </w:p>
        </w:tc>
        <w:tc>
          <w:tcPr>
            <w:tcW w:w="1001"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完成人署名次序</w:t>
            </w:r>
          </w:p>
        </w:tc>
        <w:tc>
          <w:tcPr>
            <w:tcW w:w="86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1</w:t>
            </w:r>
          </w:p>
        </w:tc>
        <w:tc>
          <w:tcPr>
            <w:tcW w:w="1292"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国际贸易学</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校级重点</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苏小玲</w:t>
            </w:r>
          </w:p>
        </w:tc>
        <w:tc>
          <w:tcPr>
            <w:tcW w:w="109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2</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宏观经济学</w:t>
            </w:r>
          </w:p>
        </w:tc>
        <w:tc>
          <w:tcPr>
            <w:tcW w:w="1152"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校级重点</w:t>
            </w:r>
          </w:p>
        </w:tc>
        <w:tc>
          <w:tcPr>
            <w:tcW w:w="1164"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刘瑛</w:t>
            </w:r>
          </w:p>
        </w:tc>
        <w:tc>
          <w:tcPr>
            <w:tcW w:w="109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3</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电子商务</w:t>
            </w:r>
            <w:r>
              <w:rPr>
                <w:rFonts w:hint="eastAsia" w:ascii="Times New Roman" w:hAnsi="Times New Roman" w:eastAsia="宋体" w:cs="Times New Roman"/>
                <w:color w:val="000000"/>
                <w:sz w:val="21"/>
                <w:lang w:eastAsia="zh-CN"/>
              </w:rPr>
              <w:t>概论</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校级一般</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张定方</w:t>
            </w:r>
          </w:p>
        </w:tc>
        <w:tc>
          <w:tcPr>
            <w:tcW w:w="109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4</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跨国公司经营与管理</w:t>
            </w:r>
          </w:p>
        </w:tc>
        <w:tc>
          <w:tcPr>
            <w:tcW w:w="1152"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校级一般</w:t>
            </w:r>
          </w:p>
        </w:tc>
        <w:tc>
          <w:tcPr>
            <w:tcW w:w="1164"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刘兰勇</w:t>
            </w:r>
          </w:p>
        </w:tc>
        <w:tc>
          <w:tcPr>
            <w:tcW w:w="109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bl>
    <w:p>
      <w:pPr>
        <w:widowControl/>
        <w:adjustRightInd w:val="0"/>
        <w:snapToGrid w:val="0"/>
        <w:ind w:firstLine="640" w:firstLineChars="200"/>
        <w:jc w:val="center"/>
        <w:rPr>
          <w:rFonts w:hint="eastAsia" w:cs="Times New Roman" w:asciiTheme="minorEastAsia" w:hAnsiTheme="minorEastAsia"/>
          <w:kern w:val="0"/>
          <w:szCs w:val="21"/>
        </w:rPr>
      </w:pPr>
    </w:p>
    <w:p>
      <w:pPr>
        <w:spacing w:before="480" w:after="120"/>
        <w:outlineLvl w:val="1"/>
        <w:rPr>
          <w:rFonts w:hint="eastAsia" w:ascii="黑体" w:hAnsi="Times New Roman" w:eastAsia="黑体" w:cs="Times New Roman"/>
          <w:b/>
          <w:bCs/>
          <w:sz w:val="28"/>
          <w:szCs w:val="28"/>
          <w:lang w:val="en-US" w:eastAsia="zh-CN"/>
        </w:rPr>
      </w:pPr>
      <w:bookmarkStart w:id="8" w:name="_Toc19896"/>
      <w:r>
        <w:rPr>
          <w:rFonts w:hint="eastAsia" w:ascii="黑体" w:hAnsi="Times New Roman" w:eastAsia="黑体" w:cs="Times New Roman"/>
          <w:b/>
          <w:bCs/>
          <w:sz w:val="28"/>
          <w:szCs w:val="28"/>
          <w:lang w:val="en-US" w:eastAsia="zh-CN"/>
        </w:rPr>
        <w:t>2.3倡导形成优良学风和学术氛围</w:t>
      </w:r>
      <w:bookmarkEnd w:id="8"/>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学校和学院建立了严格的学术惩戒处罚制度，倡导树立优良学风。如制定《江西科技师范大学学位论文作假行为处理办法实施细则》和《研究生指导教师考核管理办法》等相关制度。除制度保障外，学院也非常重视研究生的学术文化氛围营造，借助学院的科研团队和科研平台开展形式多样的学术交流活动，扩展了研究生的学术视野。</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此外，学校制定了《研究生手册》，学院</w:t>
      </w:r>
      <w:r>
        <w:rPr>
          <w:rFonts w:hint="eastAsia" w:ascii="宋体" w:hAnsi="宋体" w:eastAsia="宋体" w:cs="Times New Roman"/>
          <w:sz w:val="24"/>
          <w:lang w:eastAsia="zh-CN"/>
        </w:rPr>
        <w:t>高度重视研究生对学院研究生教育工作的</w:t>
      </w:r>
      <w:r>
        <w:rPr>
          <w:rFonts w:hint="eastAsia" w:ascii="宋体" w:hAnsi="宋体" w:eastAsia="宋体" w:cs="Times New Roman"/>
          <w:sz w:val="24"/>
        </w:rPr>
        <w:t>反馈意见，建立了畅通的沟通渠道，加强与研究生的信息沟通，采用微信、QQ、信箱等</w:t>
      </w:r>
      <w:r>
        <w:rPr>
          <w:rFonts w:hint="eastAsia" w:ascii="宋体" w:hAnsi="宋体" w:eastAsia="宋体" w:cs="Times New Roman"/>
          <w:sz w:val="24"/>
          <w:lang w:eastAsia="zh-CN"/>
        </w:rPr>
        <w:t>多种</w:t>
      </w:r>
      <w:r>
        <w:rPr>
          <w:rFonts w:hint="eastAsia" w:ascii="宋体" w:hAnsi="宋体" w:eastAsia="宋体" w:cs="Times New Roman"/>
          <w:sz w:val="24"/>
        </w:rPr>
        <w:t>方式与</w:t>
      </w:r>
      <w:r>
        <w:rPr>
          <w:rFonts w:hint="eastAsia" w:ascii="宋体" w:hAnsi="宋体" w:eastAsia="宋体" w:cs="Times New Roman"/>
          <w:sz w:val="24"/>
          <w:lang w:eastAsia="zh-CN"/>
        </w:rPr>
        <w:t>广大</w:t>
      </w:r>
      <w:r>
        <w:rPr>
          <w:rFonts w:hint="eastAsia" w:ascii="宋体" w:hAnsi="宋体" w:eastAsia="宋体" w:cs="Times New Roman"/>
          <w:sz w:val="24"/>
        </w:rPr>
        <w:t>师生沟通。</w:t>
      </w: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ind w:firstLine="560"/>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spacing w:line="360" w:lineRule="auto"/>
        <w:outlineLvl w:val="9"/>
        <w:rPr>
          <w:rStyle w:val="26"/>
          <w:rFonts w:hint="eastAsia" w:ascii="仿宋_GB2312" w:hAnsi="仿宋_GB2312" w:eastAsia="仿宋_GB2312" w:cs="仿宋_GB2312"/>
          <w:color w:val="auto"/>
          <w:sz w:val="28"/>
          <w:szCs w:val="28"/>
        </w:rPr>
      </w:pPr>
    </w:p>
    <w:p>
      <w:pPr>
        <w:pStyle w:val="2"/>
        <w:spacing w:line="360" w:lineRule="auto"/>
        <w:ind w:firstLine="0" w:firstLineChars="0"/>
        <w:outlineLvl w:val="0"/>
        <w:rPr>
          <w:rFonts w:hint="eastAsia" w:ascii="黑体" w:hAnsi="Times New Roman" w:eastAsia="黑体" w:cs="Times New Roman"/>
          <w:b/>
          <w:bCs/>
          <w:kern w:val="2"/>
          <w:sz w:val="32"/>
          <w:szCs w:val="32"/>
          <w:lang w:val="en-US" w:eastAsia="zh-CN" w:bidi="ar-SA"/>
        </w:rPr>
      </w:pPr>
      <w:bookmarkStart w:id="9" w:name="_Toc11169"/>
      <w:r>
        <w:rPr>
          <w:rFonts w:hint="eastAsia" w:ascii="黑体" w:hAnsi="Times New Roman" w:eastAsia="黑体" w:cs="Times New Roman"/>
          <w:b/>
          <w:bCs/>
          <w:kern w:val="2"/>
          <w:sz w:val="32"/>
          <w:szCs w:val="32"/>
          <w:lang w:val="en-US" w:eastAsia="zh-CN" w:bidi="ar-SA"/>
        </w:rPr>
        <w:t>3研究生培养相关制定及执行情况</w:t>
      </w:r>
      <w:bookmarkEnd w:id="9"/>
    </w:p>
    <w:p>
      <w:pPr>
        <w:spacing w:before="480" w:after="120"/>
        <w:outlineLvl w:val="1"/>
        <w:rPr>
          <w:rFonts w:hint="eastAsia" w:ascii="黑体" w:hAnsi="Times New Roman" w:eastAsia="黑体" w:cs="Times New Roman"/>
          <w:b/>
          <w:bCs/>
          <w:sz w:val="28"/>
          <w:szCs w:val="28"/>
        </w:rPr>
      </w:pPr>
      <w:bookmarkStart w:id="10" w:name="_Toc17404"/>
      <w:r>
        <w:rPr>
          <w:rFonts w:hint="eastAsia" w:ascii="黑体" w:hAnsi="Times New Roman" w:eastAsia="黑体" w:cs="Times New Roman"/>
          <w:b/>
          <w:bCs/>
          <w:sz w:val="28"/>
          <w:szCs w:val="28"/>
          <w:lang w:val="en-US"/>
        </w:rPr>
        <w:t>3.1</w:t>
      </w:r>
      <w:r>
        <w:rPr>
          <w:rFonts w:hint="eastAsia" w:ascii="黑体" w:hAnsi="Times New Roman" w:eastAsia="黑体" w:cs="Times New Roman"/>
          <w:b/>
          <w:bCs/>
          <w:sz w:val="28"/>
          <w:szCs w:val="28"/>
        </w:rPr>
        <w:t>课程建设与实施情况</w:t>
      </w:r>
      <w:bookmarkEnd w:id="10"/>
    </w:p>
    <w:p>
      <w:pPr>
        <w:spacing w:line="360" w:lineRule="auto"/>
        <w:rPr>
          <w:rFonts w:ascii="仿宋_GB2312" w:hAnsi="仿宋_GB2312" w:eastAsia="仿宋_GB2312" w:cs="仿宋_GB2312"/>
          <w:sz w:val="28"/>
          <w:szCs w:val="28"/>
        </w:rPr>
      </w:pPr>
      <w:r>
        <w:rPr>
          <w:rFonts w:hint="eastAsia" w:ascii="黑体" w:hAnsi="Times New Roman" w:eastAsia="黑体" w:cs="Times New Roman"/>
          <w:b/>
          <w:bCs/>
          <w:sz w:val="26"/>
          <w:szCs w:val="26"/>
          <w:lang w:val="en-US" w:eastAsia="zh-CN"/>
        </w:rPr>
        <w:t>3.1.1</w:t>
      </w:r>
      <w:r>
        <w:rPr>
          <w:rFonts w:hint="eastAsia" w:ascii="黑体" w:hAnsi="Times New Roman" w:eastAsia="黑体" w:cs="Times New Roman"/>
          <w:b/>
          <w:bCs/>
          <w:sz w:val="26"/>
          <w:szCs w:val="26"/>
        </w:rPr>
        <w:t>设置</w:t>
      </w:r>
      <w:r>
        <w:rPr>
          <w:rFonts w:hint="eastAsia" w:ascii="黑体" w:hAnsi="Times New Roman" w:eastAsia="黑体" w:cs="Times New Roman"/>
          <w:b/>
          <w:bCs/>
          <w:sz w:val="26"/>
          <w:szCs w:val="26"/>
          <w:lang w:eastAsia="zh-CN"/>
        </w:rPr>
        <w:t>合理的人才培养</w:t>
      </w:r>
      <w:r>
        <w:rPr>
          <w:rFonts w:hint="eastAsia" w:ascii="黑体" w:hAnsi="Times New Roman" w:eastAsia="黑体" w:cs="Times New Roman"/>
          <w:b/>
          <w:bCs/>
          <w:sz w:val="26"/>
          <w:szCs w:val="26"/>
        </w:rPr>
        <w:t>体系</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为培养优秀的国际商务专硕人才，专硕点多次讨论人才培养方案，征求多方意见，不断修改完善人才培养方案，保障了人才培养的质量。</w:t>
      </w:r>
    </w:p>
    <w:p>
      <w:pPr>
        <w:spacing w:line="288" w:lineRule="auto"/>
        <w:ind w:firstLine="480" w:firstLineChars="200"/>
        <w:rPr>
          <w:rFonts w:hint="eastAsia" w:ascii="宋体" w:hAnsi="宋体" w:eastAsia="宋体" w:cs="Times New Roman"/>
          <w:sz w:val="24"/>
          <w:lang w:val="en-US"/>
        </w:rPr>
      </w:pPr>
      <w:r>
        <w:rPr>
          <w:rFonts w:hint="eastAsia" w:ascii="宋体" w:hAnsi="宋体" w:eastAsia="宋体" w:cs="Times New Roman"/>
          <w:sz w:val="24"/>
        </w:rPr>
        <w:t>国际商务专硕旨在培养掌握现代经济与商务基础理论，具备现代国际商务实践技能，能够跨文化交流能力，擅长的高层次、应用型和复合型国际商务专门人才。课程是保证人才培养质量的基础，人才培养方案设置了公共必修课、专业基础课、专业核心课、方向选修课和自由选修课等五大课程模块，形成了国际贸易、跨境电子商务和国际经济合作三个稳定的人才培养方向，能够保证国际商务专硕人才培养与社会需求有效对接。为保证人才培养质量，国际商务专硕配备优秀的师资讲授核心课程，如表</w:t>
      </w:r>
      <w:r>
        <w:rPr>
          <w:rFonts w:hint="eastAsia" w:ascii="宋体" w:hAnsi="宋体" w:eastAsia="宋体" w:cs="Times New Roman"/>
          <w:sz w:val="24"/>
          <w:lang w:val="en-US"/>
        </w:rPr>
        <w:t>3-1</w:t>
      </w:r>
      <w:r>
        <w:rPr>
          <w:rFonts w:hint="eastAsia" w:ascii="宋体" w:hAnsi="宋体" w:eastAsia="宋体" w:cs="Times New Roman"/>
          <w:sz w:val="24"/>
        </w:rPr>
        <w:t>所示，</w:t>
      </w:r>
      <w:r>
        <w:rPr>
          <w:rFonts w:hint="eastAsia" w:ascii="宋体" w:hAnsi="宋体" w:eastAsia="宋体" w:cs="Times New Roman"/>
          <w:sz w:val="24"/>
          <w:lang w:val="en-US"/>
        </w:rPr>
        <w:t>13门核心课程中，10门课程由博士教师担任，占76.92%。</w:t>
      </w:r>
    </w:p>
    <w:p>
      <w:pPr>
        <w:snapToGrid w:val="0"/>
        <w:spacing w:line="360" w:lineRule="auto"/>
        <w:jc w:val="center"/>
        <w:rPr>
          <w:b w:val="0"/>
          <w:bCs w:val="0"/>
        </w:rPr>
      </w:pPr>
      <w:r>
        <w:rPr>
          <w:rFonts w:hint="eastAsia" w:ascii="宋体" w:hAnsi="宋体" w:eastAsia="宋体" w:cs="Times New Roman"/>
          <w:sz w:val="21"/>
        </w:rPr>
        <w:t>表</w:t>
      </w:r>
      <w:r>
        <w:rPr>
          <w:rFonts w:hint="eastAsia" w:ascii="宋体" w:hAnsi="宋体" w:eastAsia="宋体" w:cs="Times New Roman"/>
          <w:sz w:val="21"/>
          <w:lang w:val="en-US"/>
        </w:rPr>
        <w:t>3-1</w:t>
      </w:r>
      <w:r>
        <w:rPr>
          <w:rFonts w:hint="eastAsia" w:ascii="宋体" w:hAnsi="宋体" w:eastAsia="宋体" w:cs="Times New Roman"/>
          <w:sz w:val="21"/>
        </w:rPr>
        <w:t xml:space="preserve"> </w:t>
      </w:r>
      <w:r>
        <w:rPr>
          <w:rFonts w:hint="eastAsia" w:ascii="宋体" w:hAnsi="宋体" w:eastAsia="宋体" w:cs="Times New Roman"/>
          <w:sz w:val="21"/>
          <w:lang w:eastAsia="zh-CN"/>
        </w:rPr>
        <w:t>国际商务专硕核心课程及教师</w:t>
      </w:r>
    </w:p>
    <w:tbl>
      <w:tblPr>
        <w:tblStyle w:val="14"/>
        <w:tblW w:w="47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750"/>
        <w:gridCol w:w="915"/>
        <w:gridCol w:w="89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1683" w:type="pct"/>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课程名称</w:t>
            </w:r>
          </w:p>
        </w:tc>
        <w:tc>
          <w:tcPr>
            <w:tcW w:w="560"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学时</w:t>
            </w:r>
          </w:p>
        </w:tc>
        <w:tc>
          <w:tcPr>
            <w:tcW w:w="550"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学分</w:t>
            </w:r>
          </w:p>
        </w:tc>
        <w:tc>
          <w:tcPr>
            <w:tcW w:w="1725"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w:t>
            </w:r>
          </w:p>
        </w:tc>
        <w:tc>
          <w:tcPr>
            <w:tcW w:w="1683"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学术道德与论文写作</w:t>
            </w:r>
          </w:p>
        </w:tc>
        <w:tc>
          <w:tcPr>
            <w:tcW w:w="560" w:type="pct"/>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16</w:t>
            </w:r>
          </w:p>
        </w:tc>
        <w:tc>
          <w:tcPr>
            <w:tcW w:w="550" w:type="pct"/>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w:t>
            </w:r>
          </w:p>
        </w:tc>
        <w:tc>
          <w:tcPr>
            <w:tcW w:w="1725" w:type="pct"/>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舒斯亮副教授、博士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国际商务</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48</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何富彩讲师、博士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经济学分析与应用</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48</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熊娟娟讲师、博士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商务英语</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48</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谢瑶讲师、博士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5</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国际金融理论与实务</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陈明军副教授、学士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6</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国际经济合作</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熊青龙副教授、博士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7</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国际商法</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马文讲师、博士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8</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国际贸易政策与实务</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熊娟娟讲师、博士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9</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国际商务谈判</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李艳萍副教授、硕士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10</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计量经济学</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熊青龙副教授、博士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11</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跨境电子商务</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杨春季副教授、博士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12</w:t>
            </w:r>
          </w:p>
        </w:tc>
        <w:tc>
          <w:tcPr>
            <w:tcW w:w="16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国际市场营销</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肖葵副教授、硕士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13</w:t>
            </w:r>
          </w:p>
        </w:tc>
        <w:tc>
          <w:tcPr>
            <w:tcW w:w="1683" w:type="pct"/>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国际经济学</w:t>
            </w:r>
          </w:p>
        </w:tc>
        <w:tc>
          <w:tcPr>
            <w:tcW w:w="56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32</w:t>
            </w:r>
          </w:p>
        </w:tc>
        <w:tc>
          <w:tcPr>
            <w:tcW w:w="550" w:type="pct"/>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1725" w:type="pct"/>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何富彩讲师、博士</w:t>
            </w:r>
          </w:p>
        </w:tc>
      </w:tr>
    </w:tbl>
    <w:p>
      <w:pPr>
        <w:pStyle w:val="10"/>
        <w:rPr>
          <w:rStyle w:val="26"/>
          <w:rFonts w:hint="eastAsia" w:ascii="仿宋_GB2312" w:hAnsi="仿宋_GB2312" w:eastAsia="仿宋_GB2312" w:cs="仿宋_GB2312"/>
          <w:b/>
          <w:bCs/>
          <w:sz w:val="28"/>
          <w:szCs w:val="28"/>
        </w:rPr>
      </w:pPr>
    </w:p>
    <w:p>
      <w:pPr>
        <w:spacing w:line="288" w:lineRule="auto"/>
        <w:ind w:firstLine="480" w:firstLineChars="200"/>
        <w:rPr>
          <w:rFonts w:hint="eastAsia" w:ascii="宋体" w:hAnsi="宋体" w:eastAsia="宋体" w:cs="Times New Roman"/>
          <w:sz w:val="24"/>
          <w:lang w:val="en-US"/>
        </w:rPr>
      </w:pPr>
      <w:r>
        <w:rPr>
          <w:rFonts w:hint="eastAsia" w:ascii="宋体" w:hAnsi="宋体" w:eastAsia="宋体" w:cs="Times New Roman"/>
          <w:sz w:val="24"/>
          <w:lang w:val="en-US"/>
        </w:rPr>
        <w:t>国际商务专硕具有较强的应用性，注重培养学生理论与实践相结合的能力，除了</w:t>
      </w:r>
      <w:r>
        <w:rPr>
          <w:rFonts w:hint="eastAsia" w:ascii="宋体" w:hAnsi="宋体" w:eastAsia="宋体" w:cs="Times New Roman"/>
          <w:sz w:val="24"/>
          <w:lang w:val="en-US" w:eastAsia="zh-CN"/>
        </w:rPr>
        <w:t>开设反映实践</w:t>
      </w:r>
      <w:r>
        <w:rPr>
          <w:rFonts w:hint="eastAsia" w:ascii="宋体" w:hAnsi="宋体" w:eastAsia="宋体" w:cs="Times New Roman"/>
          <w:sz w:val="24"/>
          <w:lang w:val="en-US"/>
        </w:rPr>
        <w:t>能力和职业能力的课程外，还鼓励学生参加校内外实践，考取专业相关的资格证书。2021年共有8人参加了教师资格证、证券从业资格证、银行从业资格证和基金从业资格证等考试，这些资格证对学生职业生涯具有</w:t>
      </w:r>
      <w:r>
        <w:rPr>
          <w:rFonts w:hint="eastAsia" w:ascii="宋体" w:hAnsi="宋体" w:eastAsia="宋体" w:cs="Times New Roman"/>
          <w:sz w:val="24"/>
          <w:lang w:val="en-US" w:eastAsia="zh-CN"/>
        </w:rPr>
        <w:t>一定帮助</w:t>
      </w:r>
      <w:r>
        <w:rPr>
          <w:rFonts w:hint="eastAsia" w:ascii="宋体" w:hAnsi="宋体" w:eastAsia="宋体" w:cs="Times New Roman"/>
          <w:sz w:val="24"/>
          <w:lang w:val="en-US"/>
        </w:rPr>
        <w:t>。具体如表3-2所示。</w:t>
      </w:r>
    </w:p>
    <w:p>
      <w:pPr>
        <w:spacing w:line="288" w:lineRule="auto"/>
        <w:ind w:firstLine="480" w:firstLineChars="200"/>
        <w:rPr>
          <w:rFonts w:hint="default" w:ascii="宋体" w:hAnsi="宋体" w:eastAsia="宋体" w:cs="Times New Roman"/>
          <w:sz w:val="24"/>
          <w:lang w:val="en-US"/>
        </w:rPr>
      </w:pP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表3</w:t>
      </w:r>
      <w:r>
        <w:rPr>
          <w:rFonts w:hint="eastAsia" w:ascii="宋体" w:hAnsi="宋体" w:eastAsia="宋体" w:cs="Times New Roman"/>
          <w:sz w:val="21"/>
          <w:lang w:val="en-US" w:eastAsia="zh-CN"/>
        </w:rPr>
        <w:t>-</w:t>
      </w:r>
      <w:r>
        <w:rPr>
          <w:rFonts w:hint="eastAsia" w:ascii="宋体" w:hAnsi="宋体" w:eastAsia="宋体" w:cs="Times New Roman"/>
          <w:sz w:val="21"/>
        </w:rPr>
        <w:t>2 202</w:t>
      </w:r>
      <w:r>
        <w:rPr>
          <w:rFonts w:hint="eastAsia" w:ascii="宋体" w:hAnsi="宋体" w:eastAsia="宋体" w:cs="Times New Roman"/>
          <w:sz w:val="21"/>
          <w:lang w:val="en-US" w:eastAsia="zh-CN"/>
        </w:rPr>
        <w:t>1</w:t>
      </w:r>
      <w:r>
        <w:rPr>
          <w:rFonts w:hint="eastAsia" w:ascii="宋体" w:hAnsi="宋体" w:eastAsia="宋体" w:cs="Times New Roman"/>
          <w:sz w:val="21"/>
        </w:rPr>
        <w:t>年学生获得资格证书情况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244"/>
        <w:gridCol w:w="1738"/>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3244"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资格证书名称</w:t>
            </w:r>
          </w:p>
        </w:tc>
        <w:tc>
          <w:tcPr>
            <w:tcW w:w="173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年度</w:t>
            </w:r>
          </w:p>
        </w:tc>
        <w:tc>
          <w:tcPr>
            <w:tcW w:w="1739"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通过人数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6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1</w:t>
            </w:r>
          </w:p>
        </w:tc>
        <w:tc>
          <w:tcPr>
            <w:tcW w:w="3244"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教师资格证</w:t>
            </w:r>
          </w:p>
        </w:tc>
        <w:tc>
          <w:tcPr>
            <w:tcW w:w="1738"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w:t>
            </w:r>
          </w:p>
        </w:tc>
        <w:tc>
          <w:tcPr>
            <w:tcW w:w="1739"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6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2</w:t>
            </w:r>
          </w:p>
        </w:tc>
        <w:tc>
          <w:tcPr>
            <w:tcW w:w="3244"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证券从业资格证</w:t>
            </w:r>
          </w:p>
        </w:tc>
        <w:tc>
          <w:tcPr>
            <w:tcW w:w="1738"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w:t>
            </w:r>
          </w:p>
        </w:tc>
        <w:tc>
          <w:tcPr>
            <w:tcW w:w="1739"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6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3</w:t>
            </w:r>
          </w:p>
        </w:tc>
        <w:tc>
          <w:tcPr>
            <w:tcW w:w="3244"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银行从业资格证</w:t>
            </w:r>
          </w:p>
        </w:tc>
        <w:tc>
          <w:tcPr>
            <w:tcW w:w="1738"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w:t>
            </w:r>
          </w:p>
        </w:tc>
        <w:tc>
          <w:tcPr>
            <w:tcW w:w="1739"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96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4</w:t>
            </w:r>
          </w:p>
        </w:tc>
        <w:tc>
          <w:tcPr>
            <w:tcW w:w="3244"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基金从业资格证</w:t>
            </w:r>
          </w:p>
        </w:tc>
        <w:tc>
          <w:tcPr>
            <w:tcW w:w="1738"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w:t>
            </w:r>
          </w:p>
        </w:tc>
        <w:tc>
          <w:tcPr>
            <w:tcW w:w="1739"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w:t>
            </w:r>
          </w:p>
        </w:tc>
      </w:tr>
    </w:tbl>
    <w:p>
      <w:pPr>
        <w:spacing w:line="400" w:lineRule="exact"/>
        <w:ind w:firstLine="411" w:firstLineChars="147"/>
        <w:outlineLvl w:val="9"/>
        <w:rPr>
          <w:rFonts w:hint="eastAsia" w:ascii="仿宋" w:hAnsi="仿宋" w:eastAsia="仿宋" w:cs="仿宋"/>
          <w:bCs/>
          <w:sz w:val="28"/>
          <w:szCs w:val="28"/>
        </w:rPr>
      </w:pP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为提高研究生</w:t>
      </w:r>
      <w:r>
        <w:rPr>
          <w:rFonts w:hint="eastAsia" w:ascii="宋体" w:hAnsi="宋体" w:eastAsia="宋体" w:cs="Times New Roman"/>
          <w:sz w:val="24"/>
          <w:lang w:eastAsia="zh-CN"/>
        </w:rPr>
        <w:t>培养</w:t>
      </w:r>
      <w:r>
        <w:rPr>
          <w:rFonts w:hint="eastAsia" w:ascii="宋体" w:hAnsi="宋体" w:eastAsia="宋体" w:cs="Times New Roman"/>
          <w:sz w:val="24"/>
        </w:rPr>
        <w:t>质量，</w:t>
      </w:r>
      <w:r>
        <w:rPr>
          <w:rFonts w:hint="eastAsia" w:ascii="宋体" w:hAnsi="宋体" w:eastAsia="宋体" w:cs="Times New Roman"/>
          <w:sz w:val="24"/>
          <w:lang w:eastAsia="zh-CN"/>
        </w:rPr>
        <w:t>优质课程是基础，学校制定了</w:t>
      </w:r>
      <w:r>
        <w:rPr>
          <w:rFonts w:hint="eastAsia" w:ascii="宋体" w:hAnsi="宋体" w:eastAsia="宋体" w:cs="Times New Roman"/>
          <w:sz w:val="24"/>
        </w:rPr>
        <w:t>《研究生优质课程和案例建设项目管理办法（试行）》，积极组织教师在课程体系建设、课堂教学改革方面开展研究，改进教学方法，注重新型教学手段运用，发挥课程</w:t>
      </w:r>
      <w:r>
        <w:rPr>
          <w:rFonts w:hint="eastAsia" w:ascii="宋体" w:hAnsi="宋体" w:eastAsia="宋体" w:cs="Times New Roman"/>
          <w:sz w:val="24"/>
          <w:lang w:eastAsia="zh-CN"/>
        </w:rPr>
        <w:t>教学</w:t>
      </w:r>
      <w:r>
        <w:rPr>
          <w:rFonts w:hint="eastAsia" w:ascii="宋体" w:hAnsi="宋体" w:eastAsia="宋体" w:cs="Times New Roman"/>
          <w:sz w:val="24"/>
        </w:rPr>
        <w:t>在研究生培养过程中的</w:t>
      </w:r>
      <w:r>
        <w:rPr>
          <w:rFonts w:hint="eastAsia" w:ascii="宋体" w:hAnsi="宋体" w:eastAsia="宋体" w:cs="Times New Roman"/>
          <w:sz w:val="24"/>
          <w:lang w:eastAsia="zh-CN"/>
        </w:rPr>
        <w:t>作用</w:t>
      </w:r>
      <w:r>
        <w:rPr>
          <w:rFonts w:hint="eastAsia" w:ascii="宋体" w:hAnsi="宋体" w:eastAsia="宋体" w:cs="Times New Roman"/>
          <w:sz w:val="24"/>
        </w:rPr>
        <w:t>。</w:t>
      </w:r>
      <w:r>
        <w:rPr>
          <w:rFonts w:hint="eastAsia" w:ascii="宋体" w:hAnsi="宋体" w:eastAsia="宋体" w:cs="Times New Roman"/>
          <w:sz w:val="24"/>
          <w:lang w:eastAsia="zh-CN"/>
        </w:rPr>
        <w:t>学位点教师积极申请各级各类优质课，获得省级优质课</w:t>
      </w:r>
      <w:r>
        <w:rPr>
          <w:rFonts w:hint="eastAsia" w:ascii="宋体" w:hAnsi="宋体" w:eastAsia="宋体" w:cs="Times New Roman"/>
          <w:sz w:val="24"/>
          <w:lang w:val="en-US" w:eastAsia="zh-CN"/>
        </w:rPr>
        <w:t>2门，校级示范课建设项目4门，这些优质课及其优秀</w:t>
      </w:r>
      <w:r>
        <w:rPr>
          <w:rFonts w:hint="eastAsia" w:ascii="宋体" w:hAnsi="宋体" w:eastAsia="宋体" w:cs="Times New Roman"/>
          <w:sz w:val="24"/>
        </w:rPr>
        <w:t>教育资源</w:t>
      </w:r>
      <w:r>
        <w:rPr>
          <w:rFonts w:hint="eastAsia" w:ascii="宋体" w:hAnsi="宋体" w:eastAsia="宋体" w:cs="Times New Roman"/>
          <w:sz w:val="24"/>
          <w:lang w:eastAsia="zh-CN"/>
        </w:rPr>
        <w:t>为人才培养奠定了重要基础。具体如表</w:t>
      </w:r>
      <w:r>
        <w:rPr>
          <w:rFonts w:hint="eastAsia" w:ascii="宋体" w:hAnsi="宋体" w:eastAsia="宋体" w:cs="Times New Roman"/>
          <w:sz w:val="24"/>
          <w:lang w:val="en-US" w:eastAsia="zh-CN"/>
        </w:rPr>
        <w:t>3-3所示。</w:t>
      </w:r>
    </w:p>
    <w:p>
      <w:pPr>
        <w:spacing w:line="400" w:lineRule="exact"/>
        <w:ind w:firstLine="411" w:firstLineChars="147"/>
        <w:outlineLvl w:val="9"/>
        <w:rPr>
          <w:rFonts w:hint="eastAsia" w:ascii="仿宋" w:hAnsi="仿宋" w:eastAsia="仿宋" w:cs="仿宋"/>
          <w:bCs/>
          <w:sz w:val="28"/>
          <w:szCs w:val="28"/>
        </w:rPr>
      </w:pP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表3</w:t>
      </w:r>
      <w:r>
        <w:rPr>
          <w:rFonts w:hint="eastAsia" w:ascii="宋体" w:hAnsi="宋体" w:eastAsia="宋体" w:cs="Times New Roman"/>
          <w:sz w:val="21"/>
          <w:lang w:val="en-US" w:eastAsia="zh-CN"/>
        </w:rPr>
        <w:t>-3</w:t>
      </w:r>
      <w:r>
        <w:rPr>
          <w:rFonts w:hint="eastAsia" w:ascii="宋体" w:hAnsi="宋体" w:eastAsia="宋体" w:cs="Times New Roman"/>
          <w:sz w:val="21"/>
        </w:rPr>
        <w:t xml:space="preserve">  202</w:t>
      </w:r>
      <w:r>
        <w:rPr>
          <w:rFonts w:hint="eastAsia" w:ascii="宋体" w:hAnsi="宋体" w:eastAsia="宋体" w:cs="Times New Roman"/>
          <w:sz w:val="21"/>
          <w:lang w:val="en-US" w:eastAsia="zh-CN"/>
        </w:rPr>
        <w:t>1</w:t>
      </w:r>
      <w:r>
        <w:rPr>
          <w:rFonts w:hint="eastAsia" w:ascii="宋体" w:hAnsi="宋体" w:eastAsia="宋体" w:cs="Times New Roman"/>
          <w:sz w:val="21"/>
        </w:rPr>
        <w:t>年省级优质课程立项及精品在线课程</w:t>
      </w:r>
    </w:p>
    <w:tbl>
      <w:tblPr>
        <w:tblStyle w:val="1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292"/>
        <w:gridCol w:w="1152"/>
        <w:gridCol w:w="1153"/>
        <w:gridCol w:w="1164"/>
        <w:gridCol w:w="1091"/>
        <w:gridCol w:w="100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1292"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成果名称</w:t>
            </w:r>
          </w:p>
        </w:tc>
        <w:tc>
          <w:tcPr>
            <w:tcW w:w="1152"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奖项类型</w:t>
            </w:r>
          </w:p>
        </w:tc>
        <w:tc>
          <w:tcPr>
            <w:tcW w:w="115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奖项等级</w:t>
            </w:r>
          </w:p>
        </w:tc>
        <w:tc>
          <w:tcPr>
            <w:tcW w:w="1164"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成果完成人</w:t>
            </w:r>
          </w:p>
        </w:tc>
        <w:tc>
          <w:tcPr>
            <w:tcW w:w="1091"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单位署名次序</w:t>
            </w:r>
          </w:p>
        </w:tc>
        <w:tc>
          <w:tcPr>
            <w:tcW w:w="1001"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完成人署名次序</w:t>
            </w:r>
          </w:p>
        </w:tc>
        <w:tc>
          <w:tcPr>
            <w:tcW w:w="86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1</w:t>
            </w:r>
          </w:p>
        </w:tc>
        <w:tc>
          <w:tcPr>
            <w:tcW w:w="1292"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宏观经济学</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2020年江西省精品在线开放课程</w:t>
            </w:r>
          </w:p>
        </w:tc>
        <w:tc>
          <w:tcPr>
            <w:tcW w:w="1153"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省部级</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刘瑛</w:t>
            </w:r>
          </w:p>
        </w:tc>
        <w:tc>
          <w:tcPr>
            <w:tcW w:w="109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eastAsia="en-US"/>
              </w:rPr>
              <w:t>2021年2月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2</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电子商务概论</w:t>
            </w:r>
          </w:p>
        </w:tc>
        <w:tc>
          <w:tcPr>
            <w:tcW w:w="115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2020年江西省线上线下混合式一流课程</w:t>
            </w:r>
          </w:p>
        </w:tc>
        <w:tc>
          <w:tcPr>
            <w:tcW w:w="1153"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省部级</w:t>
            </w:r>
          </w:p>
        </w:tc>
        <w:tc>
          <w:tcPr>
            <w:tcW w:w="1164"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张定方</w:t>
            </w:r>
          </w:p>
        </w:tc>
        <w:tc>
          <w:tcPr>
            <w:tcW w:w="109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eastAsia="en-US"/>
              </w:rPr>
              <w:t>2021年2月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3</w:t>
            </w:r>
          </w:p>
        </w:tc>
        <w:tc>
          <w:tcPr>
            <w:tcW w:w="1292"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国际贸易学</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校级重点</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苏小玲</w:t>
            </w:r>
          </w:p>
        </w:tc>
        <w:tc>
          <w:tcPr>
            <w:tcW w:w="109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4</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宏观经济学</w:t>
            </w:r>
          </w:p>
        </w:tc>
        <w:tc>
          <w:tcPr>
            <w:tcW w:w="1152"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校级重点</w:t>
            </w:r>
          </w:p>
        </w:tc>
        <w:tc>
          <w:tcPr>
            <w:tcW w:w="1164"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刘瑛</w:t>
            </w:r>
          </w:p>
        </w:tc>
        <w:tc>
          <w:tcPr>
            <w:tcW w:w="109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5</w:t>
            </w:r>
          </w:p>
        </w:tc>
        <w:tc>
          <w:tcPr>
            <w:tcW w:w="1292"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电子商务</w:t>
            </w:r>
            <w:r>
              <w:rPr>
                <w:rFonts w:hint="eastAsia" w:ascii="Times New Roman" w:hAnsi="Times New Roman" w:eastAsia="宋体" w:cs="Times New Roman"/>
                <w:color w:val="000000"/>
                <w:sz w:val="21"/>
                <w:lang w:eastAsia="zh-CN"/>
              </w:rPr>
              <w:t>概论</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校级一般</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张定方</w:t>
            </w:r>
          </w:p>
        </w:tc>
        <w:tc>
          <w:tcPr>
            <w:tcW w:w="1091"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 w:hRule="atLeast"/>
          <w:jc w:val="center"/>
        </w:trPr>
        <w:tc>
          <w:tcPr>
            <w:tcW w:w="803"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6</w:t>
            </w:r>
          </w:p>
        </w:tc>
        <w:tc>
          <w:tcPr>
            <w:tcW w:w="1292"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跨国公司经营与管理</w:t>
            </w:r>
          </w:p>
        </w:tc>
        <w:tc>
          <w:tcPr>
            <w:tcW w:w="1152"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“课程思政”示范课程建设项目</w:t>
            </w:r>
          </w:p>
        </w:tc>
        <w:tc>
          <w:tcPr>
            <w:tcW w:w="1153"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校级一般</w:t>
            </w:r>
          </w:p>
        </w:tc>
        <w:tc>
          <w:tcPr>
            <w:tcW w:w="1164"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刘兰勇</w:t>
            </w:r>
          </w:p>
        </w:tc>
        <w:tc>
          <w:tcPr>
            <w:tcW w:w="1091"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1001" w:type="dxa"/>
            <w:vAlign w:val="center"/>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1</w:t>
            </w:r>
          </w:p>
        </w:tc>
        <w:tc>
          <w:tcPr>
            <w:tcW w:w="863" w:type="dxa"/>
            <w:vAlign w:val="top"/>
          </w:tcPr>
          <w:p>
            <w:pPr>
              <w:jc w:val="center"/>
              <w:rPr>
                <w:rFonts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w:t>
            </w:r>
          </w:p>
        </w:tc>
      </w:tr>
    </w:tbl>
    <w:p>
      <w:pPr>
        <w:widowControl/>
        <w:adjustRightInd w:val="0"/>
        <w:snapToGrid w:val="0"/>
        <w:ind w:firstLine="640" w:firstLineChars="200"/>
        <w:jc w:val="center"/>
        <w:rPr>
          <w:rFonts w:hint="eastAsia" w:cs="Times New Roman" w:asciiTheme="minorEastAsia" w:hAnsiTheme="minorEastAsia"/>
          <w:kern w:val="0"/>
          <w:szCs w:val="21"/>
        </w:rPr>
      </w:pPr>
    </w:p>
    <w:p>
      <w:pPr>
        <w:widowControl/>
        <w:adjustRightInd w:val="0"/>
        <w:snapToGrid w:val="0"/>
        <w:spacing w:line="400" w:lineRule="exact"/>
        <w:rPr>
          <w:rFonts w:hint="eastAsia" w:cs="Times New Roman" w:asciiTheme="minorEastAsia" w:hAnsiTheme="minorEastAsia"/>
          <w:kern w:val="0"/>
          <w:sz w:val="24"/>
          <w:szCs w:val="24"/>
        </w:rPr>
      </w:pPr>
    </w:p>
    <w:p>
      <w:pPr>
        <w:widowControl/>
        <w:adjustRightInd w:val="0"/>
        <w:snapToGrid w:val="0"/>
        <w:ind w:firstLine="640" w:firstLineChars="200"/>
        <w:jc w:val="center"/>
        <w:rPr>
          <w:rFonts w:hint="eastAsia" w:cs="Times New Roman" w:asciiTheme="minorEastAsia" w:hAnsiTheme="minorEastAsia"/>
          <w:kern w:val="0"/>
          <w:szCs w:val="21"/>
          <w:lang w:eastAsia="zh-CN"/>
        </w:rPr>
      </w:pPr>
    </w:p>
    <w:p>
      <w:pPr>
        <w:spacing w:line="360" w:lineRule="auto"/>
        <w:rPr>
          <w:rFonts w:ascii="仿宋_GB2312" w:hAnsi="仿宋_GB2312" w:eastAsia="仿宋_GB2312" w:cs="仿宋_GB2312"/>
          <w:sz w:val="28"/>
          <w:szCs w:val="28"/>
        </w:rPr>
      </w:pPr>
      <w:r>
        <w:rPr>
          <w:rFonts w:hint="eastAsia" w:ascii="黑体" w:hAnsi="Times New Roman" w:eastAsia="黑体" w:cs="Times New Roman"/>
          <w:b/>
          <w:bCs/>
          <w:sz w:val="26"/>
          <w:szCs w:val="26"/>
          <w:lang w:val="en-US" w:eastAsia="zh-CN"/>
        </w:rPr>
        <w:t>3.1.3</w:t>
      </w:r>
      <w:r>
        <w:rPr>
          <w:rFonts w:hint="eastAsia" w:ascii="黑体" w:hAnsi="Times New Roman" w:eastAsia="黑体" w:cs="Times New Roman"/>
          <w:b/>
          <w:bCs/>
          <w:sz w:val="26"/>
          <w:szCs w:val="26"/>
        </w:rPr>
        <w:t>课程教学质量保障体系</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为有效保障研究生培养质量，学校出台了系列制度文件，如《江西科技师范大学硕士研究生课程学习及成绩管理办法》等，研究生院建立了完善的教学评价与反馈机制，通过以评促教、以评促改，推动国际商务硕士研究生课程建设与改革。每学期课程结束，研究生院都会组织学生开展评教评学活动，教学过程中对课程进行检查，保障教学过程的实际成效。学院还会对</w:t>
      </w:r>
      <w:r>
        <w:rPr>
          <w:rFonts w:hint="eastAsia" w:ascii="宋体" w:hAnsi="宋体" w:eastAsia="宋体" w:cs="Times New Roman"/>
          <w:sz w:val="24"/>
          <w:lang w:eastAsia="zh-CN"/>
        </w:rPr>
        <w:t>学生</w:t>
      </w:r>
      <w:r>
        <w:rPr>
          <w:rFonts w:hint="eastAsia" w:ascii="宋体" w:hAnsi="宋体" w:eastAsia="宋体" w:cs="Times New Roman"/>
          <w:sz w:val="24"/>
        </w:rPr>
        <w:t>所选课程进行评价，充分了解学生对课程教学的满意情况，并开展问卷调查，全面掌握学生对课程的满意度。</w:t>
      </w:r>
    </w:p>
    <w:p>
      <w:pPr>
        <w:spacing w:before="480" w:after="120"/>
        <w:outlineLvl w:val="1"/>
        <w:rPr>
          <w:rFonts w:hint="eastAsia" w:ascii="黑体" w:hAnsi="Times New Roman" w:eastAsia="黑体" w:cs="Times New Roman"/>
          <w:b/>
          <w:bCs/>
          <w:sz w:val="28"/>
          <w:szCs w:val="28"/>
        </w:rPr>
      </w:pPr>
      <w:bookmarkStart w:id="11" w:name="_Toc30234"/>
      <w:r>
        <w:rPr>
          <w:rFonts w:hint="eastAsia" w:ascii="黑体" w:hAnsi="Times New Roman" w:eastAsia="黑体" w:cs="Times New Roman"/>
          <w:b/>
          <w:bCs/>
          <w:sz w:val="28"/>
          <w:szCs w:val="28"/>
          <w:lang w:val="en-US" w:eastAsia="zh-CN"/>
        </w:rPr>
        <w:t>3.2硕导选拔、培训与考核</w:t>
      </w:r>
      <w:bookmarkEnd w:id="11"/>
    </w:p>
    <w:p>
      <w:pPr>
        <w:spacing w:line="288"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eastAsia="zh-CN"/>
        </w:rPr>
        <w:t>国际商务专硕培养质量离不开优秀的指导教师队伍，为保障研究生培养质量，</w:t>
      </w:r>
      <w:r>
        <w:rPr>
          <w:rFonts w:hint="eastAsia" w:ascii="宋体" w:hAnsi="宋体" w:eastAsia="宋体" w:cs="Times New Roman"/>
          <w:sz w:val="24"/>
        </w:rPr>
        <w:t>我校</w:t>
      </w:r>
      <w:r>
        <w:rPr>
          <w:rFonts w:hint="eastAsia" w:ascii="宋体" w:hAnsi="宋体" w:eastAsia="宋体" w:cs="Times New Roman"/>
          <w:sz w:val="24"/>
          <w:lang w:eastAsia="zh-CN"/>
        </w:rPr>
        <w:t>出台了</w:t>
      </w:r>
      <w:r>
        <w:rPr>
          <w:rFonts w:hint="eastAsia" w:ascii="宋体" w:hAnsi="宋体" w:eastAsia="宋体" w:cs="Times New Roman"/>
          <w:sz w:val="24"/>
        </w:rPr>
        <w:t>《江西科技师范大学硕士研究生指导教师管理办法》，</w:t>
      </w:r>
      <w:r>
        <w:rPr>
          <w:rFonts w:hint="eastAsia" w:ascii="宋体" w:hAnsi="宋体" w:eastAsia="宋体" w:cs="Times New Roman"/>
          <w:sz w:val="24"/>
          <w:lang w:eastAsia="zh-CN"/>
        </w:rPr>
        <w:t>旨在</w:t>
      </w:r>
      <w:r>
        <w:rPr>
          <w:rFonts w:hint="eastAsia" w:ascii="宋体" w:hAnsi="宋体" w:eastAsia="宋体" w:cs="Times New Roman"/>
          <w:sz w:val="24"/>
        </w:rPr>
        <w:t>建成一支具有较高学术水准、深厚职业背景、丰富实践经验的导师队伍，</w:t>
      </w:r>
      <w:r>
        <w:rPr>
          <w:rFonts w:hint="eastAsia" w:ascii="宋体" w:hAnsi="宋体" w:eastAsia="宋体" w:cs="Times New Roman"/>
          <w:sz w:val="24"/>
          <w:lang w:eastAsia="zh-CN"/>
        </w:rPr>
        <w:t>我校国际商务专硕都配备了“双导师”，即一个校内导师，一个校外企业导师，能够保障国际商务专硕学生理论学习和实践指导两条腿走路。此外，我校还鼓励教师考取“双师证”，到企业去挂职锻炼，这都为国际商务专硕人才培养奠定了良好基础。我校国际商务专硕点拥有</w:t>
      </w:r>
      <w:r>
        <w:rPr>
          <w:rFonts w:hint="eastAsia" w:ascii="宋体" w:hAnsi="宋体" w:eastAsia="宋体" w:cs="Times New Roman"/>
          <w:sz w:val="24"/>
        </w:rPr>
        <w:t>“双师型”导师7名</w:t>
      </w:r>
      <w:r>
        <w:rPr>
          <w:rFonts w:hint="eastAsia" w:ascii="宋体" w:hAnsi="宋体" w:eastAsia="宋体" w:cs="Times New Roman"/>
          <w:sz w:val="24"/>
          <w:lang w:eastAsia="zh-CN"/>
        </w:rPr>
        <w:t>，具体如表</w:t>
      </w:r>
      <w:r>
        <w:rPr>
          <w:rFonts w:hint="eastAsia" w:ascii="宋体" w:hAnsi="宋体" w:eastAsia="宋体" w:cs="Times New Roman"/>
          <w:sz w:val="24"/>
          <w:lang w:val="en-US" w:eastAsia="zh-CN"/>
        </w:rPr>
        <w:t>3-4所示。</w:t>
      </w:r>
    </w:p>
    <w:p>
      <w:pPr>
        <w:spacing w:line="360" w:lineRule="auto"/>
        <w:ind w:firstLine="420" w:firstLineChars="200"/>
        <w:jc w:val="center"/>
        <w:rPr>
          <w:rFonts w:hint="default" w:ascii="仿宋_GB2312" w:hAnsi="仿宋_GB2312" w:eastAsia="仿宋_GB2312" w:cs="仿宋_GB2312"/>
          <w:sz w:val="28"/>
          <w:szCs w:val="28"/>
          <w:lang w:val="en-US" w:eastAsia="zh-CN"/>
        </w:rPr>
      </w:pPr>
      <w:r>
        <w:rPr>
          <w:rFonts w:hint="eastAsia" w:ascii="宋体" w:hAnsi="宋体" w:eastAsia="宋体" w:cs="Times New Roman"/>
          <w:sz w:val="21"/>
          <w:lang w:val="en-US" w:eastAsia="zh-CN"/>
        </w:rPr>
        <w:t>表3-4 校级以上“双师”教师</w:t>
      </w:r>
    </w:p>
    <w:tbl>
      <w:tblPr>
        <w:tblStyle w:val="13"/>
        <w:tblW w:w="7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3"/>
        <w:gridCol w:w="1260"/>
        <w:gridCol w:w="1170"/>
        <w:gridCol w:w="1125"/>
        <w:gridCol w:w="1335"/>
        <w:gridCol w:w="1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姓名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专业技术职务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最高学位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是否有行业经历</w:t>
            </w:r>
          </w:p>
        </w:tc>
        <w:tc>
          <w:tcPr>
            <w:tcW w:w="1591"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是否校级及以上“双师型”教师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张定方</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李艳</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硕士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袁青燕</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博士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王凌洪</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副教授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硕士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熊青龙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副教授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博士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罗凤兰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副教授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硕士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否</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杨春季</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副教授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博士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否</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刘瑛</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讲师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硕士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否</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刘兰勇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讲师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博士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杨振华</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讲师</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博士</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否</w:t>
            </w:r>
          </w:p>
        </w:tc>
        <w:tc>
          <w:tcPr>
            <w:tcW w:w="15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是</w:t>
            </w:r>
          </w:p>
        </w:tc>
      </w:tr>
    </w:tbl>
    <w:p>
      <w:pPr>
        <w:spacing w:line="360" w:lineRule="auto"/>
        <w:outlineLvl w:val="9"/>
        <w:rPr>
          <w:rStyle w:val="26"/>
          <w:rFonts w:hint="eastAsia" w:ascii="仿宋_GB2312" w:hAnsi="仿宋_GB2312" w:eastAsia="仿宋_GB2312" w:cs="仿宋_GB2312"/>
          <w:sz w:val="28"/>
          <w:szCs w:val="28"/>
        </w:rPr>
      </w:pPr>
    </w:p>
    <w:p>
      <w:pPr>
        <w:spacing w:line="360" w:lineRule="auto"/>
        <w:outlineLvl w:val="9"/>
        <w:rPr>
          <w:rStyle w:val="26"/>
          <w:rFonts w:hint="eastAsia" w:ascii="仿宋_GB2312" w:hAnsi="仿宋_GB2312" w:eastAsia="仿宋_GB2312" w:cs="仿宋_GB2312"/>
          <w:sz w:val="28"/>
          <w:szCs w:val="28"/>
        </w:rPr>
      </w:pPr>
    </w:p>
    <w:p>
      <w:pPr>
        <w:spacing w:before="480" w:after="120"/>
        <w:outlineLvl w:val="1"/>
        <w:rPr>
          <w:rFonts w:hint="eastAsia" w:ascii="黑体" w:hAnsi="Times New Roman" w:eastAsia="黑体" w:cs="Times New Roman"/>
          <w:b/>
          <w:bCs/>
          <w:sz w:val="28"/>
          <w:szCs w:val="28"/>
        </w:rPr>
      </w:pPr>
      <w:bookmarkStart w:id="12" w:name="_Toc31200"/>
      <w:r>
        <w:rPr>
          <w:rFonts w:hint="eastAsia" w:ascii="黑体" w:hAnsi="Times New Roman" w:eastAsia="黑体" w:cs="Times New Roman"/>
          <w:b/>
          <w:bCs/>
          <w:sz w:val="28"/>
          <w:szCs w:val="28"/>
          <w:lang w:val="en-US" w:eastAsia="zh-CN"/>
        </w:rPr>
        <w:t>3.3加强</w:t>
      </w:r>
      <w:r>
        <w:rPr>
          <w:rFonts w:hint="eastAsia" w:ascii="黑体" w:hAnsi="Times New Roman" w:eastAsia="黑体" w:cs="Times New Roman"/>
          <w:b/>
          <w:bCs/>
          <w:sz w:val="28"/>
          <w:szCs w:val="28"/>
        </w:rPr>
        <w:t>师德师风</w:t>
      </w:r>
      <w:r>
        <w:rPr>
          <w:rFonts w:hint="eastAsia" w:ascii="黑体" w:hAnsi="Times New Roman" w:eastAsia="黑体" w:cs="Times New Roman"/>
          <w:b/>
          <w:bCs/>
          <w:sz w:val="28"/>
          <w:szCs w:val="28"/>
          <w:lang w:eastAsia="zh-CN"/>
        </w:rPr>
        <w:t>和业务培训</w:t>
      </w:r>
      <w:bookmarkEnd w:id="12"/>
    </w:p>
    <w:p>
      <w:pPr>
        <w:spacing w:line="288"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学校高度重视硕导的师德师风建设，采取多样化方式进行宣传、教育和培训。学校和学院更加重视硕导的业务培训，如</w:t>
      </w:r>
      <w:r>
        <w:rPr>
          <w:rFonts w:hint="eastAsia" w:ascii="宋体" w:hAnsi="宋体" w:eastAsia="宋体" w:cs="Times New Roman"/>
          <w:sz w:val="24"/>
        </w:rPr>
        <w:t>教学技能专项培训（多媒体课件制作、网络课程制作）、专题讲座、研讨交流会和经验交流会、以老带新等教研活动，</w:t>
      </w:r>
      <w:r>
        <w:rPr>
          <w:rFonts w:hint="eastAsia" w:ascii="宋体" w:hAnsi="宋体" w:eastAsia="宋体" w:cs="Times New Roman"/>
          <w:sz w:val="24"/>
          <w:lang w:eastAsia="zh-CN"/>
        </w:rPr>
        <w:t>并通过</w:t>
      </w:r>
      <w:r>
        <w:rPr>
          <w:rFonts w:hint="eastAsia" w:ascii="宋体" w:hAnsi="宋体" w:eastAsia="宋体" w:cs="Times New Roman"/>
          <w:sz w:val="24"/>
        </w:rPr>
        <w:t>常态化教研活动</w:t>
      </w:r>
      <w:r>
        <w:rPr>
          <w:rFonts w:hint="eastAsia" w:ascii="宋体" w:hAnsi="宋体" w:eastAsia="宋体" w:cs="Times New Roman"/>
          <w:sz w:val="24"/>
          <w:lang w:eastAsia="zh-CN"/>
        </w:rPr>
        <w:t>加强教师之间的学术交流和沟通，不断提高</w:t>
      </w:r>
      <w:r>
        <w:rPr>
          <w:rFonts w:hint="eastAsia" w:ascii="宋体" w:hAnsi="宋体" w:eastAsia="宋体" w:cs="Times New Roman"/>
          <w:sz w:val="24"/>
        </w:rPr>
        <w:t>教师</w:t>
      </w:r>
      <w:r>
        <w:rPr>
          <w:rFonts w:hint="eastAsia" w:ascii="宋体" w:hAnsi="宋体" w:eastAsia="宋体" w:cs="Times New Roman"/>
          <w:sz w:val="24"/>
          <w:lang w:eastAsia="zh-CN"/>
        </w:rPr>
        <w:t>的师德师风水平和学术研究能力。此外，学校还鼓励教师外出</w:t>
      </w:r>
      <w:r>
        <w:rPr>
          <w:rFonts w:hint="eastAsia" w:ascii="宋体" w:hAnsi="宋体" w:eastAsia="宋体" w:cs="Times New Roman"/>
          <w:sz w:val="24"/>
        </w:rPr>
        <w:t>学习</w:t>
      </w:r>
      <w:r>
        <w:rPr>
          <w:rFonts w:hint="eastAsia" w:ascii="宋体" w:hAnsi="宋体" w:eastAsia="宋体" w:cs="Times New Roman"/>
          <w:sz w:val="24"/>
          <w:lang w:eastAsia="zh-CN"/>
        </w:rPr>
        <w:t>和</w:t>
      </w:r>
      <w:r>
        <w:rPr>
          <w:rFonts w:hint="eastAsia" w:ascii="宋体" w:hAnsi="宋体" w:eastAsia="宋体" w:cs="Times New Roman"/>
          <w:sz w:val="24"/>
        </w:rPr>
        <w:t>培训，通过外出学习</w:t>
      </w:r>
      <w:r>
        <w:rPr>
          <w:rFonts w:hint="eastAsia" w:ascii="宋体" w:hAnsi="宋体" w:eastAsia="宋体" w:cs="Times New Roman"/>
          <w:sz w:val="24"/>
          <w:lang w:eastAsia="zh-CN"/>
        </w:rPr>
        <w:t>可以</w:t>
      </w:r>
      <w:r>
        <w:rPr>
          <w:rFonts w:hint="eastAsia" w:ascii="宋体" w:hAnsi="宋体" w:eastAsia="宋体" w:cs="Times New Roman"/>
          <w:sz w:val="24"/>
        </w:rPr>
        <w:t>开拓教师的视野</w:t>
      </w:r>
      <w:r>
        <w:rPr>
          <w:rFonts w:hint="eastAsia" w:ascii="宋体" w:hAnsi="宋体" w:eastAsia="宋体" w:cs="Times New Roman"/>
          <w:sz w:val="24"/>
          <w:lang w:eastAsia="zh-CN"/>
        </w:rPr>
        <w:t>，</w:t>
      </w:r>
      <w:r>
        <w:rPr>
          <w:rFonts w:hint="eastAsia" w:ascii="宋体" w:hAnsi="宋体" w:eastAsia="宋体" w:cs="Times New Roman"/>
          <w:sz w:val="24"/>
        </w:rPr>
        <w:t>提高教师业务能力</w:t>
      </w:r>
      <w:r>
        <w:rPr>
          <w:rFonts w:hint="eastAsia" w:ascii="宋体" w:hAnsi="宋体" w:eastAsia="宋体" w:cs="Times New Roman"/>
          <w:sz w:val="24"/>
          <w:lang w:eastAsia="zh-CN"/>
        </w:rPr>
        <w:t>。</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2021年度，国际商务专硕教师参加培训共3场，提高了硕导的学术素养，具体如表3-5所示。</w:t>
      </w:r>
    </w:p>
    <w:p>
      <w:pPr>
        <w:spacing w:before="156" w:beforeLines="50" w:after="156" w:afterLines="50" w:line="300" w:lineRule="auto"/>
        <w:ind w:firstLine="539" w:firstLineChars="257"/>
        <w:jc w:val="center"/>
        <w:rPr>
          <w:rFonts w:hint="default" w:ascii="宋体" w:hAnsi="宋体" w:eastAsia="宋体" w:cs="Times New Roman"/>
          <w:sz w:val="21"/>
          <w:lang w:val="en-US" w:eastAsia="zh-CN"/>
        </w:rPr>
      </w:pPr>
      <w:r>
        <w:rPr>
          <w:rFonts w:hint="eastAsia" w:ascii="宋体" w:hAnsi="宋体" w:eastAsia="宋体" w:cs="Times New Roman"/>
          <w:sz w:val="21"/>
          <w:lang w:eastAsia="zh-CN"/>
        </w:rPr>
        <w:t>表</w:t>
      </w:r>
      <w:r>
        <w:rPr>
          <w:rFonts w:hint="eastAsia" w:ascii="宋体" w:hAnsi="宋体" w:eastAsia="宋体" w:cs="Times New Roman"/>
          <w:sz w:val="21"/>
          <w:lang w:val="en-US" w:eastAsia="zh-CN"/>
        </w:rPr>
        <w:t>3-5 教师培训情况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3390"/>
        <w:gridCol w:w="1757"/>
        <w:gridCol w:w="1077"/>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培训主题</w:t>
            </w:r>
          </w:p>
        </w:tc>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培训时间</w:t>
            </w:r>
          </w:p>
        </w:tc>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培训人次</w:t>
            </w:r>
          </w:p>
        </w:tc>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1</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高质量学术论文的写作与投稿</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2021年6月9日</w:t>
            </w:r>
          </w:p>
        </w:tc>
        <w:tc>
          <w:tcPr>
            <w:tcW w:w="1184" w:type="dxa"/>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7</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江西科技师范大学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国家社科基金项目申报的几点个人体会</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2021年10月26日</w:t>
            </w:r>
          </w:p>
        </w:tc>
        <w:tc>
          <w:tcPr>
            <w:tcW w:w="1184" w:type="dxa"/>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10</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江西科技师范大学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国家社科基金申报经验与技巧</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2021年10月27日</w:t>
            </w:r>
          </w:p>
        </w:tc>
        <w:tc>
          <w:tcPr>
            <w:tcW w:w="1184" w:type="dxa"/>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9</w:t>
            </w:r>
          </w:p>
        </w:tc>
        <w:tc>
          <w:tcPr>
            <w:tcW w:w="0" w:type="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江西科技师范大学</w:t>
            </w:r>
          </w:p>
        </w:tc>
      </w:tr>
    </w:tbl>
    <w:p>
      <w:pPr>
        <w:spacing w:line="400" w:lineRule="exact"/>
        <w:ind w:firstLine="360" w:firstLineChars="150"/>
        <w:outlineLvl w:val="9"/>
        <w:rPr>
          <w:rFonts w:cs="方正仿宋简体" w:asciiTheme="minorEastAsia" w:hAnsiTheme="minorEastAsia"/>
          <w:bCs/>
          <w:sz w:val="24"/>
          <w:szCs w:val="24"/>
        </w:rPr>
      </w:pPr>
    </w:p>
    <w:p>
      <w:pPr>
        <w:widowControl/>
        <w:adjustRightInd w:val="0"/>
        <w:snapToGrid w:val="0"/>
        <w:ind w:firstLine="547" w:firstLineChars="171"/>
        <w:textAlignment w:val="center"/>
        <w:rPr>
          <w:rFonts w:cs="Times New Roman" w:asciiTheme="minorEastAsia" w:hAnsiTheme="minorEastAsia"/>
          <w:kern w:val="0"/>
          <w:szCs w:val="21"/>
        </w:rPr>
      </w:pPr>
    </w:p>
    <w:p>
      <w:pPr>
        <w:keepNext w:val="0"/>
        <w:keepLines w:val="0"/>
        <w:pageBreakBefore w:val="0"/>
        <w:widowControl w:val="0"/>
        <w:kinsoku/>
        <w:wordWrap/>
        <w:overflowPunct/>
        <w:topLinePunct w:val="0"/>
        <w:autoSpaceDE/>
        <w:autoSpaceDN/>
        <w:bidi w:val="0"/>
        <w:adjustRightInd/>
        <w:snapToGrid/>
        <w:spacing w:before="240" w:after="120"/>
        <w:textAlignment w:val="auto"/>
        <w:outlineLvl w:val="2"/>
        <w:rPr>
          <w:rFonts w:hint="eastAsia" w:ascii="黑体" w:hAnsi="Times New Roman" w:eastAsia="黑体" w:cs="Times New Roman"/>
          <w:b/>
          <w:bCs/>
          <w:sz w:val="26"/>
          <w:szCs w:val="26"/>
        </w:rPr>
      </w:pPr>
      <w:r>
        <w:rPr>
          <w:rFonts w:hint="eastAsia" w:ascii="黑体" w:hAnsi="Times New Roman" w:eastAsia="黑体" w:cs="Times New Roman"/>
          <w:b/>
          <w:bCs/>
          <w:sz w:val="28"/>
          <w:szCs w:val="28"/>
          <w:lang w:val="en-US" w:eastAsia="zh-CN"/>
        </w:rPr>
        <w:t>3.4培养研究生</w:t>
      </w:r>
      <w:r>
        <w:rPr>
          <w:rFonts w:hint="eastAsia" w:ascii="黑体" w:hAnsi="Times New Roman" w:eastAsia="黑体" w:cs="Times New Roman"/>
          <w:b/>
          <w:bCs/>
          <w:sz w:val="28"/>
          <w:szCs w:val="28"/>
        </w:rPr>
        <w:t>学术</w:t>
      </w:r>
      <w:r>
        <w:rPr>
          <w:rFonts w:hint="eastAsia" w:ascii="黑体" w:hAnsi="Times New Roman" w:eastAsia="黑体" w:cs="Times New Roman"/>
          <w:b/>
          <w:bCs/>
          <w:sz w:val="28"/>
          <w:szCs w:val="28"/>
          <w:lang w:eastAsia="zh-CN"/>
        </w:rPr>
        <w:t>能力</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研究生学术能力培养需要多措并举，才能取得实效。首先，课程学习是提升研究生学术能力的重要环节，国际商务专硕人才培养方案中就专门开设了《学术道德与论文写作》、《计量经济学》和《经济学分析与应用》等经济管理前沿理论和方法类的课程， 让学生系统学习和掌握国际商务研究范式、研究方法和研究工具。其次，学校鼓励研究</w:t>
      </w:r>
      <w:r>
        <w:rPr>
          <w:rFonts w:hint="eastAsia" w:ascii="宋体" w:hAnsi="宋体" w:eastAsia="宋体" w:cs="Times New Roman"/>
          <w:sz w:val="24"/>
          <w:lang w:eastAsia="zh-CN"/>
        </w:rPr>
        <w:t>生</w:t>
      </w:r>
      <w:r>
        <w:rPr>
          <w:rFonts w:hint="eastAsia" w:ascii="宋体" w:hAnsi="宋体" w:eastAsia="宋体" w:cs="Times New Roman"/>
          <w:sz w:val="24"/>
        </w:rPr>
        <w:t>积极开展科学研究，学校专门修订了《研究生创新专项资金项目管理办法》，鼓励我校研究生自主开展科学研究，激发研究生的创新实践能力。最后，培养研究生学生能力需要师生共同努力，研究生阶段的学习需要指导老师的引导和指导，才能培养出有创新能力和创新意识的研究生。202</w:t>
      </w:r>
      <w:r>
        <w:rPr>
          <w:rFonts w:hint="eastAsia" w:ascii="宋体" w:hAnsi="宋体" w:eastAsia="宋体" w:cs="Times New Roman"/>
          <w:sz w:val="24"/>
          <w:lang w:val="en-US"/>
        </w:rPr>
        <w:t>1</w:t>
      </w:r>
      <w:r>
        <w:rPr>
          <w:rFonts w:hint="eastAsia" w:ascii="宋体" w:hAnsi="宋体" w:eastAsia="宋体" w:cs="Times New Roman"/>
          <w:sz w:val="24"/>
        </w:rPr>
        <w:t>年度，国际商务专硕学位点学生发表论文</w:t>
      </w:r>
      <w:r>
        <w:rPr>
          <w:rFonts w:hint="eastAsia" w:ascii="宋体" w:hAnsi="宋体" w:eastAsia="宋体" w:cs="Times New Roman"/>
          <w:sz w:val="24"/>
          <w:lang w:val="en-US"/>
        </w:rPr>
        <w:t>31</w:t>
      </w:r>
      <w:r>
        <w:rPr>
          <w:rFonts w:hint="eastAsia" w:ascii="宋体" w:hAnsi="宋体" w:eastAsia="宋体" w:cs="Times New Roman"/>
          <w:sz w:val="24"/>
        </w:rPr>
        <w:t>篇，获</w:t>
      </w:r>
      <w:r>
        <w:rPr>
          <w:rFonts w:hint="eastAsia" w:ascii="宋体" w:hAnsi="宋体" w:eastAsia="宋体" w:cs="Times New Roman"/>
          <w:sz w:val="24"/>
          <w:lang w:eastAsia="zh-CN"/>
        </w:rPr>
        <w:t>批</w:t>
      </w:r>
      <w:r>
        <w:rPr>
          <w:rFonts w:hint="eastAsia" w:ascii="宋体" w:hAnsi="宋体" w:eastAsia="宋体" w:cs="Times New Roman"/>
          <w:sz w:val="24"/>
        </w:rPr>
        <w:t>研究生创新项目2项，如表</w:t>
      </w:r>
      <w:r>
        <w:rPr>
          <w:rFonts w:hint="eastAsia" w:ascii="宋体" w:hAnsi="宋体" w:eastAsia="宋体" w:cs="Times New Roman"/>
          <w:sz w:val="24"/>
          <w:lang w:val="en-US"/>
        </w:rPr>
        <w:t>3-</w:t>
      </w:r>
      <w:r>
        <w:rPr>
          <w:rFonts w:hint="eastAsia" w:ascii="宋体" w:hAnsi="宋体" w:eastAsia="宋体" w:cs="Times New Roman"/>
          <w:sz w:val="24"/>
          <w:lang w:val="en-US" w:eastAsia="zh-CN"/>
        </w:rPr>
        <w:t>6</w:t>
      </w:r>
      <w:r>
        <w:rPr>
          <w:rFonts w:hint="eastAsia" w:ascii="宋体" w:hAnsi="宋体" w:eastAsia="宋体" w:cs="Times New Roman"/>
          <w:sz w:val="24"/>
          <w:lang w:val="en-US"/>
        </w:rPr>
        <w:t>所示</w:t>
      </w:r>
      <w:r>
        <w:rPr>
          <w:rFonts w:hint="eastAsia" w:ascii="宋体" w:hAnsi="宋体" w:eastAsia="宋体" w:cs="Times New Roman"/>
          <w:sz w:val="24"/>
        </w:rPr>
        <w:t>。</w:t>
      </w:r>
    </w:p>
    <w:p>
      <w:pPr>
        <w:spacing w:line="288" w:lineRule="auto"/>
        <w:ind w:firstLine="480" w:firstLineChars="200"/>
        <w:rPr>
          <w:rFonts w:hint="eastAsia" w:ascii="宋体" w:hAnsi="宋体" w:eastAsia="宋体" w:cs="Times New Roman"/>
          <w:sz w:val="24"/>
        </w:rPr>
      </w:pPr>
    </w:p>
    <w:p>
      <w:pPr>
        <w:spacing w:line="288" w:lineRule="auto"/>
        <w:ind w:firstLine="480" w:firstLineChars="200"/>
        <w:rPr>
          <w:rFonts w:hint="eastAsia" w:ascii="宋体" w:hAnsi="宋体" w:eastAsia="宋体" w:cs="Times New Roman"/>
          <w:sz w:val="24"/>
        </w:rPr>
      </w:pPr>
    </w:p>
    <w:p>
      <w:pPr>
        <w:spacing w:line="288" w:lineRule="auto"/>
        <w:ind w:firstLine="480" w:firstLineChars="200"/>
        <w:rPr>
          <w:rFonts w:hint="eastAsia" w:ascii="宋体" w:hAnsi="宋体" w:eastAsia="宋体" w:cs="Times New Roman"/>
          <w:sz w:val="24"/>
        </w:rPr>
      </w:pPr>
    </w:p>
    <w:p>
      <w:pPr>
        <w:spacing w:before="156" w:beforeLines="50" w:after="156" w:afterLines="50" w:line="300" w:lineRule="auto"/>
        <w:ind w:firstLine="539" w:firstLineChars="257"/>
        <w:jc w:val="center"/>
        <w:rPr>
          <w:rFonts w:hint="default" w:ascii="宋体" w:hAnsi="宋体" w:eastAsia="宋体" w:cs="Times New Roman"/>
          <w:sz w:val="21"/>
          <w:lang w:val="en-US" w:eastAsia="zh-CN"/>
        </w:rPr>
      </w:pPr>
      <w:r>
        <w:rPr>
          <w:rFonts w:hint="eastAsia" w:ascii="宋体" w:hAnsi="宋体" w:eastAsia="宋体" w:cs="Times New Roman"/>
          <w:sz w:val="21"/>
          <w:lang w:eastAsia="zh-CN"/>
        </w:rPr>
        <w:t>表</w:t>
      </w:r>
      <w:r>
        <w:rPr>
          <w:rFonts w:hint="eastAsia" w:ascii="宋体" w:hAnsi="宋体" w:eastAsia="宋体" w:cs="Times New Roman"/>
          <w:sz w:val="21"/>
          <w:lang w:val="en-US" w:eastAsia="zh-CN"/>
        </w:rPr>
        <w:t>3-6 学生发表数</w:t>
      </w:r>
    </w:p>
    <w:tbl>
      <w:tblPr>
        <w:tblStyle w:val="13"/>
        <w:tblW w:w="36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209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677" w:type="pct"/>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学号</w:t>
            </w:r>
          </w:p>
        </w:tc>
        <w:tc>
          <w:tcPr>
            <w:tcW w:w="1677" w:type="pct"/>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姓名</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发表论文数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2020020173</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曹超</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2020020174</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常慧娟</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2020020175</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常妮</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2020020176</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邓重斌</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2020020177</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郭明珠</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2020020178</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郭玉敏</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2020020179</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李鲲</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2020020180</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林善炯</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2020020181</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刘泓良</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2020020182</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刘艺</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2020020183</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田迎归</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2020020184</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汪欣然</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2020020185</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谢杭呈</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2020020186</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徐洪宇</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2020020187</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杨迎</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2020020188</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杨赟</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7" w:type="pct"/>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2020020189</w:t>
            </w:r>
          </w:p>
        </w:tc>
        <w:tc>
          <w:tcPr>
            <w:tcW w:w="16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张惠玲</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354" w:type="pct"/>
            <w:gridSpan w:val="2"/>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总计</w:t>
            </w:r>
          </w:p>
        </w:tc>
        <w:tc>
          <w:tcPr>
            <w:tcW w:w="1645"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31</w:t>
            </w:r>
          </w:p>
        </w:tc>
      </w:tr>
    </w:tbl>
    <w:p>
      <w:pPr>
        <w:spacing w:line="360" w:lineRule="auto"/>
        <w:ind w:firstLine="560" w:firstLineChars="200"/>
        <w:outlineLvl w:val="9"/>
        <w:rPr>
          <w:rStyle w:val="26"/>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240" w:after="120"/>
        <w:textAlignment w:val="auto"/>
        <w:outlineLvl w:val="2"/>
        <w:rPr>
          <w:rFonts w:hint="eastAsia" w:ascii="黑体" w:hAnsi="Times New Roman" w:eastAsia="黑体" w:cs="Times New Roman"/>
          <w:b/>
          <w:bCs/>
          <w:sz w:val="26"/>
          <w:szCs w:val="26"/>
        </w:rPr>
      </w:pPr>
      <w:r>
        <w:rPr>
          <w:rFonts w:hint="eastAsia" w:ascii="黑体" w:hAnsi="Times New Roman" w:eastAsia="黑体" w:cs="Times New Roman"/>
          <w:b/>
          <w:bCs/>
          <w:sz w:val="28"/>
          <w:szCs w:val="28"/>
          <w:lang w:val="en-US" w:eastAsia="zh-CN"/>
        </w:rPr>
        <w:t>3.5鼓励研究生参加</w:t>
      </w:r>
      <w:r>
        <w:rPr>
          <w:rFonts w:hint="eastAsia" w:ascii="黑体" w:hAnsi="Times New Roman" w:eastAsia="黑体" w:cs="Times New Roman"/>
          <w:b/>
          <w:bCs/>
          <w:sz w:val="28"/>
          <w:szCs w:val="28"/>
        </w:rPr>
        <w:t>学术交流</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学校、学院和学位点大力支持师生参加国内外学术交流，积极开展硕士研究生学术专题活动。根据我校《江西科技师范大学硕士研究生参加学术专题（活动）的暂行规定》，学术（专题）活动是我校研究生培养的一个必要环节，其学分（2学分）列入培养方案的总学分。202</w:t>
      </w:r>
      <w:r>
        <w:rPr>
          <w:rFonts w:hint="eastAsia" w:ascii="宋体" w:hAnsi="宋体" w:eastAsia="宋体" w:cs="Times New Roman"/>
          <w:sz w:val="24"/>
          <w:lang w:val="en-US"/>
        </w:rPr>
        <w:t>1</w:t>
      </w:r>
      <w:r>
        <w:rPr>
          <w:rFonts w:hint="eastAsia" w:ascii="宋体" w:hAnsi="宋体" w:eastAsia="宋体" w:cs="Times New Roman"/>
          <w:sz w:val="24"/>
        </w:rPr>
        <w:t>年国际商务专硕学位点学生共参加学术讲座或活动共4次，如表</w:t>
      </w:r>
      <w:r>
        <w:rPr>
          <w:rFonts w:hint="eastAsia" w:ascii="宋体" w:hAnsi="宋体" w:eastAsia="宋体" w:cs="Times New Roman"/>
          <w:sz w:val="24"/>
          <w:lang w:val="en-US" w:eastAsia="zh-CN"/>
        </w:rPr>
        <w:t>3-7所示</w:t>
      </w:r>
      <w:r>
        <w:rPr>
          <w:rFonts w:hint="eastAsia" w:ascii="宋体" w:hAnsi="宋体" w:eastAsia="宋体" w:cs="Times New Roman"/>
          <w:sz w:val="24"/>
        </w:rPr>
        <w:t>。</w:t>
      </w:r>
    </w:p>
    <w:p>
      <w:pPr>
        <w:spacing w:line="288" w:lineRule="auto"/>
        <w:ind w:firstLine="480" w:firstLineChars="200"/>
        <w:rPr>
          <w:rFonts w:hint="eastAsia" w:ascii="宋体" w:hAnsi="宋体" w:eastAsia="宋体" w:cs="Times New Roman"/>
          <w:sz w:val="24"/>
        </w:rPr>
      </w:pPr>
    </w:p>
    <w:p>
      <w:pPr>
        <w:snapToGrid w:val="0"/>
        <w:jc w:val="center"/>
        <w:rPr>
          <w:rFonts w:hint="eastAsia" w:ascii="宋体" w:hAnsi="宋体" w:eastAsia="宋体" w:cs="Times New Roman"/>
          <w:sz w:val="21"/>
        </w:rPr>
      </w:pPr>
      <w:r>
        <w:rPr>
          <w:rFonts w:hint="eastAsia" w:ascii="宋体" w:hAnsi="宋体" w:eastAsia="宋体" w:cs="Times New Roman"/>
          <w:sz w:val="21"/>
        </w:rPr>
        <w:t>表3</w:t>
      </w:r>
      <w:r>
        <w:rPr>
          <w:rFonts w:hint="eastAsia" w:ascii="宋体" w:hAnsi="宋体" w:eastAsia="宋体" w:cs="Times New Roman"/>
          <w:sz w:val="21"/>
          <w:lang w:val="en-US" w:eastAsia="zh-CN"/>
        </w:rPr>
        <w:t>-7</w:t>
      </w:r>
      <w:r>
        <w:rPr>
          <w:rFonts w:hint="eastAsia" w:ascii="宋体" w:hAnsi="宋体" w:eastAsia="宋体" w:cs="Times New Roman"/>
          <w:sz w:val="21"/>
        </w:rPr>
        <w:t xml:space="preserve"> 202</w:t>
      </w:r>
      <w:r>
        <w:rPr>
          <w:rFonts w:hint="eastAsia" w:ascii="宋体" w:hAnsi="宋体" w:eastAsia="宋体" w:cs="Times New Roman"/>
          <w:sz w:val="21"/>
          <w:lang w:val="en-US" w:eastAsia="zh-CN"/>
        </w:rPr>
        <w:t>1</w:t>
      </w:r>
      <w:r>
        <w:rPr>
          <w:rFonts w:hint="eastAsia" w:ascii="宋体" w:hAnsi="宋体" w:eastAsia="宋体" w:cs="Times New Roman"/>
          <w:sz w:val="21"/>
        </w:rPr>
        <w:t>年国际商务硕士点教师培训交流情况</w:t>
      </w:r>
    </w:p>
    <w:tbl>
      <w:tblPr>
        <w:tblStyle w:val="13"/>
        <w:tblpPr w:leftFromText="180" w:rightFromText="180" w:vertAnchor="text" w:horzAnchor="page" w:tblpXSpec="center" w:tblpY="704"/>
        <w:tblOverlap w:val="never"/>
        <w:tblW w:w="47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205"/>
        <w:gridCol w:w="958"/>
        <w:gridCol w:w="171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97"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1974"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培训主题</w:t>
            </w:r>
          </w:p>
        </w:tc>
        <w:tc>
          <w:tcPr>
            <w:tcW w:w="590"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主讲人</w:t>
            </w:r>
          </w:p>
        </w:tc>
        <w:tc>
          <w:tcPr>
            <w:tcW w:w="1054"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工作单位</w:t>
            </w:r>
          </w:p>
        </w:tc>
        <w:tc>
          <w:tcPr>
            <w:tcW w:w="983" w:type="pct"/>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1</w:t>
            </w:r>
          </w:p>
        </w:tc>
        <w:tc>
          <w:tcPr>
            <w:tcW w:w="197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《如何成为一名合格的管理者－－领导干部（管理者）担当履职需把握的若干辩证关系》</w:t>
            </w:r>
          </w:p>
        </w:tc>
        <w:tc>
          <w:tcPr>
            <w:tcW w:w="590"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殷建敏</w:t>
            </w:r>
          </w:p>
        </w:tc>
        <w:tc>
          <w:tcPr>
            <w:tcW w:w="105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江西省气象局</w:t>
            </w:r>
          </w:p>
        </w:tc>
        <w:tc>
          <w:tcPr>
            <w:tcW w:w="983"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2</w:t>
            </w:r>
          </w:p>
        </w:tc>
        <w:tc>
          <w:tcPr>
            <w:tcW w:w="197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高校专利挖掘与申请</w:t>
            </w:r>
          </w:p>
        </w:tc>
        <w:tc>
          <w:tcPr>
            <w:tcW w:w="590"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王强</w:t>
            </w:r>
          </w:p>
        </w:tc>
        <w:tc>
          <w:tcPr>
            <w:tcW w:w="105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北京乾成律师事务所</w:t>
            </w:r>
          </w:p>
        </w:tc>
        <w:tc>
          <w:tcPr>
            <w:tcW w:w="983"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w:t>
            </w:r>
          </w:p>
        </w:tc>
        <w:tc>
          <w:tcPr>
            <w:tcW w:w="197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案例分析的备战策略与展示技巧</w:t>
            </w:r>
          </w:p>
        </w:tc>
        <w:tc>
          <w:tcPr>
            <w:tcW w:w="590"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郭英</w:t>
            </w:r>
          </w:p>
        </w:tc>
        <w:tc>
          <w:tcPr>
            <w:tcW w:w="105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江西财经大学</w:t>
            </w:r>
          </w:p>
        </w:tc>
        <w:tc>
          <w:tcPr>
            <w:tcW w:w="983"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4</w:t>
            </w:r>
          </w:p>
        </w:tc>
        <w:tc>
          <w:tcPr>
            <w:tcW w:w="197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突发公共事件下社交媒介应急信息质量评估：附加情感特征的量化</w:t>
            </w:r>
          </w:p>
        </w:tc>
        <w:tc>
          <w:tcPr>
            <w:tcW w:w="590"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刘春年</w:t>
            </w:r>
          </w:p>
        </w:tc>
        <w:tc>
          <w:tcPr>
            <w:tcW w:w="1054"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南昌大学</w:t>
            </w:r>
          </w:p>
        </w:tc>
        <w:tc>
          <w:tcPr>
            <w:tcW w:w="983" w:type="pc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2021年12月3</w:t>
            </w:r>
          </w:p>
        </w:tc>
      </w:tr>
    </w:tbl>
    <w:p>
      <w:pPr>
        <w:spacing w:before="480" w:after="120"/>
        <w:outlineLvl w:val="1"/>
        <w:rPr>
          <w:rFonts w:hint="eastAsia" w:ascii="黑体" w:hAnsi="Times New Roman" w:eastAsia="黑体" w:cs="Times New Roman"/>
          <w:b/>
          <w:bCs/>
          <w:sz w:val="28"/>
          <w:szCs w:val="28"/>
        </w:rPr>
      </w:pPr>
      <w:bookmarkStart w:id="13" w:name="_Toc15639"/>
      <w:r>
        <w:rPr>
          <w:rFonts w:hint="eastAsia" w:ascii="黑体" w:hAnsi="Times New Roman" w:eastAsia="黑体" w:cs="Times New Roman"/>
          <w:b/>
          <w:bCs/>
          <w:sz w:val="28"/>
          <w:szCs w:val="28"/>
          <w:lang w:val="en-US" w:eastAsia="zh-CN"/>
        </w:rPr>
        <w:t>3.6构筑完善的</w:t>
      </w:r>
      <w:r>
        <w:rPr>
          <w:rFonts w:hint="eastAsia" w:ascii="黑体" w:hAnsi="Times New Roman" w:eastAsia="黑体" w:cs="Times New Roman"/>
          <w:b/>
          <w:bCs/>
          <w:sz w:val="28"/>
          <w:szCs w:val="28"/>
        </w:rPr>
        <w:t>研究生奖助</w:t>
      </w:r>
      <w:r>
        <w:rPr>
          <w:rFonts w:hint="eastAsia" w:ascii="黑体" w:hAnsi="Times New Roman" w:eastAsia="黑体" w:cs="Times New Roman"/>
          <w:b/>
          <w:bCs/>
          <w:sz w:val="28"/>
          <w:szCs w:val="28"/>
          <w:lang w:eastAsia="zh-CN"/>
        </w:rPr>
        <w:t>体系</w:t>
      </w:r>
      <w:bookmarkEnd w:id="13"/>
    </w:p>
    <w:p>
      <w:pPr>
        <w:pStyle w:val="29"/>
        <w:snapToGrid w:val="0"/>
        <w:spacing w:line="360" w:lineRule="auto"/>
        <w:ind w:firstLine="56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我校建立了完善的奖助学金体系，如表3-8所示，主要有国家助学金、国家奖学金、江西省政府奖学金等构成，能够满足各类学生的基本需求，也能够激励优秀学生脱颖而出。</w:t>
      </w:r>
    </w:p>
    <w:p>
      <w:pPr>
        <w:pStyle w:val="29"/>
        <w:snapToGrid w:val="0"/>
        <w:spacing w:line="360" w:lineRule="auto"/>
        <w:ind w:firstLine="560"/>
        <w:jc w:val="center"/>
        <w:rPr>
          <w:rFonts w:ascii="仿宋_GB2312" w:hAnsi="仿宋_GB2312" w:eastAsia="仿宋_GB2312" w:cs="仿宋_GB2312"/>
          <w:b/>
          <w:color w:val="FF0000"/>
          <w:sz w:val="28"/>
          <w:szCs w:val="28"/>
        </w:rPr>
      </w:pPr>
      <w:r>
        <w:rPr>
          <w:rFonts w:hint="eastAsia" w:ascii="宋体" w:hAnsi="宋体" w:eastAsia="宋体" w:cs="Times New Roman"/>
          <w:kern w:val="2"/>
          <w:sz w:val="21"/>
          <w:szCs w:val="24"/>
          <w:lang w:val="en-US" w:eastAsia="zh-CN" w:bidi="ar-SA"/>
        </w:rPr>
        <w:t>表3-8 奖助体系</w:t>
      </w:r>
    </w:p>
    <w:tbl>
      <w:tblPr>
        <w:tblStyle w:val="14"/>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9"/>
        <w:gridCol w:w="2868"/>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奖助类别名称</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奖助标准</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发放对象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国家助学金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每生每月600元，每年按10个月发放</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招生计划内所有全日制研究生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国家奖学金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每生每年2万元</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奖励学业成绩优秀、科研成果突出、社会公益活动表现突出研究生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江西省政府奖学金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每生每年1万元</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奖励全日制二年级以上(含二年级）在读研究生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江西省学业奖学金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每生每年8000元</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奖励比例为全日制在校研究生总数的40%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校研究生创新专项资金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2000元</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资助研究生自主提出具有创新思想的研究课题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校研究生学业奖学金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4000元-10000元之间</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奖励对象为全日制在校研究生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新生奖学金</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每生给</w:t>
            </w:r>
            <w:r>
              <w:rPr>
                <w:rFonts w:hint="eastAsia" w:ascii="Times New Roman" w:hAnsi="Times New Roman" w:eastAsia="宋体" w:cs="Times New Roman"/>
                <w:color w:val="000000"/>
                <w:sz w:val="21"/>
                <w:lang w:val="en-US"/>
              </w:rPr>
              <w:t>一</w:t>
            </w:r>
            <w:r>
              <w:rPr>
                <w:rFonts w:hint="eastAsia" w:ascii="Times New Roman" w:hAnsi="Times New Roman" w:eastAsia="宋体" w:cs="Times New Roman"/>
                <w:color w:val="000000"/>
                <w:sz w:val="21"/>
              </w:rPr>
              <w:t>次性的奖励金额在8000-12000元之间</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一志愿报考我校被录取或调剂被录取的新生(不含破格录取的)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479"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“三助”岗位</w:t>
            </w:r>
          </w:p>
        </w:tc>
        <w:tc>
          <w:tcPr>
            <w:tcW w:w="28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基本岗位津贴300元/月</w:t>
            </w:r>
            <w:r>
              <w:rPr>
                <w:rFonts w:hint="eastAsia" w:ascii="Times New Roman" w:hAnsi="Times New Roman" w:eastAsia="宋体" w:cs="Times New Roman"/>
                <w:color w:val="000000"/>
                <w:sz w:val="21"/>
                <w:lang w:eastAsia="zh-CN"/>
              </w:rPr>
              <w:t>，</w:t>
            </w:r>
            <w:r>
              <w:rPr>
                <w:rFonts w:hint="eastAsia" w:ascii="Times New Roman" w:hAnsi="Times New Roman" w:eastAsia="宋体" w:cs="Times New Roman"/>
                <w:color w:val="000000"/>
                <w:sz w:val="21"/>
              </w:rPr>
              <w:t>学院在此基础上给予1:1的比例经费</w:t>
            </w:r>
          </w:p>
        </w:tc>
        <w:tc>
          <w:tcPr>
            <w:tcW w:w="3768"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学校每年设置一定数量的研究生助教、助研和助管</w:t>
            </w:r>
          </w:p>
        </w:tc>
      </w:tr>
    </w:tbl>
    <w:p>
      <w:pPr>
        <w:spacing w:line="360" w:lineRule="auto"/>
        <w:outlineLvl w:val="9"/>
        <w:rPr>
          <w:rFonts w:hint="eastAsia" w:ascii="仿宋_GB2312" w:hAnsi="仿宋_GB2312" w:eastAsia="仿宋_GB2312" w:cs="仿宋_GB2312"/>
          <w:b w:val="0"/>
          <w:bCs w:val="0"/>
          <w:sz w:val="28"/>
          <w:szCs w:val="28"/>
        </w:rPr>
      </w:pPr>
    </w:p>
    <w:p>
      <w:pPr>
        <w:pStyle w:val="29"/>
        <w:snapToGrid w:val="0"/>
        <w:spacing w:line="360" w:lineRule="auto"/>
        <w:ind w:firstLine="56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从2014年开始，我校加大了硕士研究生奖助资助力度，扩大学业奖学金覆盖面，学校也进一步加大了研究生科研项目资助力度，学校还增加了研究生教育教学的经费投入。以2021年为例，国际商务专硕点15位同学中，获得国家奖学金1人，省学业奖学金7人，校级优秀研究生2人，校级研究生学业奖学金9人，获得奖学金学生共19人次，如表3-9所示。</w:t>
      </w:r>
    </w:p>
    <w:p>
      <w:pPr>
        <w:widowControl/>
        <w:adjustRightInd w:val="0"/>
        <w:snapToGrid w:val="0"/>
        <w:ind w:firstLine="420" w:firstLineChars="200"/>
        <w:jc w:val="center"/>
        <w:rPr>
          <w:rFonts w:hint="eastAsia" w:ascii="仿宋" w:hAnsi="仿宋" w:eastAsia="仿宋" w:cs="仿宋"/>
          <w:bCs/>
          <w:color w:val="auto"/>
          <w:kern w:val="0"/>
          <w:sz w:val="28"/>
          <w:szCs w:val="28"/>
        </w:rPr>
      </w:pPr>
      <w:r>
        <w:rPr>
          <w:rFonts w:hint="eastAsia" w:ascii="宋体" w:hAnsi="宋体" w:eastAsia="宋体" w:cs="Times New Roman"/>
          <w:sz w:val="21"/>
        </w:rPr>
        <w:t>表</w:t>
      </w:r>
      <w:r>
        <w:rPr>
          <w:rFonts w:hint="eastAsia" w:ascii="宋体" w:hAnsi="宋体" w:eastAsia="宋体" w:cs="Times New Roman"/>
          <w:sz w:val="21"/>
          <w:lang w:val="en-US" w:eastAsia="zh-CN"/>
        </w:rPr>
        <w:t>3-9</w:t>
      </w:r>
      <w:r>
        <w:rPr>
          <w:rFonts w:hint="eastAsia" w:ascii="宋体" w:hAnsi="宋体" w:eastAsia="宋体" w:cs="Times New Roman"/>
          <w:sz w:val="21"/>
        </w:rPr>
        <w:t xml:space="preserve"> 202</w:t>
      </w:r>
      <w:r>
        <w:rPr>
          <w:rFonts w:hint="eastAsia" w:ascii="宋体" w:hAnsi="宋体" w:eastAsia="宋体" w:cs="Times New Roman"/>
          <w:sz w:val="21"/>
          <w:lang w:val="en-US" w:eastAsia="zh-CN"/>
        </w:rPr>
        <w:t>1</w:t>
      </w:r>
      <w:r>
        <w:rPr>
          <w:rFonts w:hint="eastAsia" w:ascii="宋体" w:hAnsi="宋体" w:eastAsia="宋体" w:cs="Times New Roman"/>
          <w:sz w:val="21"/>
        </w:rPr>
        <w:t>年学生获得奖学金情况</w:t>
      </w:r>
    </w:p>
    <w:tbl>
      <w:tblPr>
        <w:tblStyle w:val="13"/>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6"/>
        <w:gridCol w:w="1020"/>
        <w:gridCol w:w="1387"/>
        <w:gridCol w:w="1365"/>
        <w:gridCol w:w="1335"/>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77" w:type="pct"/>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学号</w:t>
            </w:r>
          </w:p>
        </w:tc>
        <w:tc>
          <w:tcPr>
            <w:tcW w:w="627" w:type="pct"/>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姓名</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校研究生学业奖学金</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优秀研究生</w:t>
            </w:r>
          </w:p>
        </w:tc>
        <w:tc>
          <w:tcPr>
            <w:tcW w:w="821"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国家奖学金</w:t>
            </w: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省学业奖学金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2020020173</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曹超</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一等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2020020174</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常慧娟</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2020020175</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常妮</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2020020176</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邓重斌</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2020020177</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郭明珠</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2020020178</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郭玉敏</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三等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2020020179</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李鲲</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二等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2020020180</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林善炯</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三等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2020020181</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刘泓良</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一等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2020020182</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刘艺</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2020020183</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田迎归</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一等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2020020184</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汪欣然</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2020020185</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谢杭呈</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2020020186</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徐洪宇</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二等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2020020187</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杨迎</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p>
        </w:tc>
        <w:tc>
          <w:tcPr>
            <w:tcW w:w="839"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2020020188</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杨赟</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二等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2020020189</w:t>
            </w:r>
          </w:p>
        </w:tc>
        <w:tc>
          <w:tcPr>
            <w:tcW w:w="627"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张惠玲</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三等</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p>
        </w:tc>
        <w:tc>
          <w:tcPr>
            <w:tcW w:w="821" w:type="pct"/>
            <w:shd w:val="clear" w:color="auto" w:fill="auto"/>
            <w:noWrap/>
            <w:vAlign w:val="center"/>
          </w:tcPr>
          <w:p>
            <w:pPr>
              <w:jc w:val="center"/>
              <w:rPr>
                <w:rFonts w:hint="eastAsia" w:ascii="Times New Roman" w:hAnsi="Times New Roman" w:eastAsia="宋体" w:cs="Times New Roman"/>
                <w:color w:val="000000"/>
                <w:sz w:val="21"/>
              </w:rPr>
            </w:pPr>
          </w:p>
        </w:tc>
        <w:tc>
          <w:tcPr>
            <w:tcW w:w="980" w:type="pct"/>
            <w:shd w:val="clear" w:color="auto" w:fill="auto"/>
            <w:noWrap/>
            <w:vAlign w:val="center"/>
          </w:tcPr>
          <w:p>
            <w:pPr>
              <w:jc w:val="center"/>
              <w:rPr>
                <w:rFonts w:hint="eastAsia" w:ascii="Times New Roman" w:hAnsi="Times New Roman" w:eastAsia="宋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04" w:type="pct"/>
            <w:gridSpan w:val="2"/>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总计</w:t>
            </w:r>
          </w:p>
        </w:tc>
        <w:tc>
          <w:tcPr>
            <w:tcW w:w="853"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w:t>
            </w:r>
          </w:p>
        </w:tc>
        <w:tc>
          <w:tcPr>
            <w:tcW w:w="839"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821"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980" w:type="pct"/>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w:t>
            </w:r>
          </w:p>
        </w:tc>
      </w:tr>
    </w:tbl>
    <w:p>
      <w:pPr>
        <w:widowControl/>
        <w:adjustRightInd w:val="0"/>
        <w:snapToGrid w:val="0"/>
        <w:ind w:firstLine="640" w:firstLineChars="200"/>
        <w:jc w:val="center"/>
        <w:rPr>
          <w:rFonts w:hint="eastAsia" w:cs="Times New Roman" w:asciiTheme="minorEastAsia" w:hAnsiTheme="minorEastAsia"/>
          <w:bCs/>
          <w:color w:val="FF0000"/>
          <w:kern w:val="0"/>
          <w:szCs w:val="21"/>
        </w:rPr>
      </w:pPr>
    </w:p>
    <w:p>
      <w:pPr>
        <w:ind w:firstLine="627" w:firstLineChars="196"/>
        <w:outlineLvl w:val="9"/>
        <w:rPr>
          <w:rFonts w:cs="方正仿宋简体" w:asciiTheme="minorEastAsia" w:hAnsiTheme="minorEastAsia"/>
          <w:bCs/>
          <w:szCs w:val="21"/>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pStyle w:val="10"/>
        <w:rPr>
          <w:rFonts w:hint="eastAsia" w:ascii="仿宋_GB2312" w:hAnsi="仿宋_GB2312" w:eastAsia="仿宋_GB2312" w:cs="仿宋_GB2312"/>
          <w:b w:val="0"/>
          <w:bCs w:val="0"/>
          <w:sz w:val="28"/>
          <w:szCs w:val="28"/>
        </w:rPr>
      </w:pPr>
    </w:p>
    <w:p>
      <w:pPr>
        <w:tabs>
          <w:tab w:val="center" w:pos="4139"/>
          <w:tab w:val="left" w:pos="7545"/>
          <w:tab w:val="right" w:leader="middleDot" w:pos="7740"/>
        </w:tabs>
        <w:spacing w:before="480" w:after="360"/>
        <w:jc w:val="both"/>
        <w:outlineLvl w:val="0"/>
        <w:rPr>
          <w:rFonts w:hint="eastAsia" w:ascii="黑体" w:hAnsi="Times New Roman" w:eastAsia="黑体" w:cs="Times New Roman"/>
          <w:b/>
          <w:bCs/>
          <w:sz w:val="32"/>
          <w:szCs w:val="32"/>
        </w:rPr>
      </w:pPr>
      <w:bookmarkStart w:id="14" w:name="_Toc28938"/>
      <w:r>
        <w:rPr>
          <w:rFonts w:hint="eastAsia" w:ascii="黑体" w:hAnsi="Times New Roman" w:eastAsia="黑体" w:cs="Times New Roman"/>
          <w:b/>
          <w:bCs/>
          <w:sz w:val="32"/>
          <w:szCs w:val="32"/>
          <w:lang w:val="en-US" w:eastAsia="zh-CN"/>
        </w:rPr>
        <w:t>4</w:t>
      </w:r>
      <w:r>
        <w:rPr>
          <w:rFonts w:hint="eastAsia" w:ascii="黑体" w:hAnsi="Times New Roman" w:eastAsia="黑体" w:cs="Times New Roman"/>
          <w:b/>
          <w:bCs/>
          <w:sz w:val="32"/>
          <w:szCs w:val="32"/>
        </w:rPr>
        <w:t>研究生教育改革情况</w:t>
      </w:r>
      <w:bookmarkEnd w:id="14"/>
    </w:p>
    <w:p>
      <w:pPr>
        <w:keepNext w:val="0"/>
        <w:keepLines w:val="0"/>
        <w:pageBreakBefore w:val="0"/>
        <w:widowControl w:val="0"/>
        <w:kinsoku/>
        <w:wordWrap/>
        <w:overflowPunct/>
        <w:topLinePunct w:val="0"/>
        <w:autoSpaceDE/>
        <w:autoSpaceDN/>
        <w:bidi w:val="0"/>
        <w:adjustRightInd/>
        <w:snapToGrid/>
        <w:spacing w:before="240" w:after="120"/>
        <w:textAlignment w:val="auto"/>
        <w:outlineLvl w:val="2"/>
        <w:rPr>
          <w:rFonts w:hint="eastAsia" w:ascii="黑体" w:hAnsi="Times New Roman" w:eastAsia="黑体" w:cs="Times New Roman"/>
          <w:b/>
          <w:bCs/>
          <w:sz w:val="26"/>
          <w:szCs w:val="26"/>
        </w:rPr>
      </w:pPr>
      <w:r>
        <w:rPr>
          <w:rFonts w:hint="eastAsia" w:ascii="黑体" w:hAnsi="Times New Roman" w:eastAsia="黑体" w:cs="Times New Roman"/>
          <w:b/>
          <w:bCs/>
          <w:sz w:val="28"/>
          <w:szCs w:val="28"/>
          <w:lang w:val="en-US" w:eastAsia="zh-CN"/>
        </w:rPr>
        <w:t>4.1</w:t>
      </w:r>
      <w:r>
        <w:rPr>
          <w:rFonts w:hint="eastAsia" w:ascii="黑体" w:hAnsi="Times New Roman" w:eastAsia="黑体" w:cs="Times New Roman"/>
          <w:b/>
          <w:bCs/>
          <w:sz w:val="28"/>
          <w:szCs w:val="28"/>
        </w:rPr>
        <w:t>人才培养</w:t>
      </w:r>
      <w:bookmarkStart w:id="15" w:name="_Toc527799240"/>
      <w:bookmarkStart w:id="16" w:name="_Toc527800268"/>
    </w:p>
    <w:p>
      <w:pPr>
        <w:spacing w:line="360" w:lineRule="auto"/>
        <w:rPr>
          <w:rFonts w:ascii="仿宋_GB2312" w:hAnsi="仿宋_GB2312" w:eastAsia="仿宋_GB2312" w:cs="仿宋_GB2312"/>
          <w:sz w:val="28"/>
          <w:szCs w:val="28"/>
        </w:rPr>
      </w:pPr>
      <w:r>
        <w:rPr>
          <w:rFonts w:hint="eastAsia" w:ascii="黑体" w:hAnsi="Times New Roman" w:eastAsia="黑体" w:cs="Times New Roman"/>
          <w:b/>
          <w:bCs/>
          <w:sz w:val="26"/>
          <w:szCs w:val="26"/>
          <w:lang w:val="en-US" w:eastAsia="zh-CN"/>
        </w:rPr>
        <w:t>4.1.1</w:t>
      </w:r>
      <w:r>
        <w:rPr>
          <w:rFonts w:hint="eastAsia" w:ascii="黑体" w:hAnsi="Times New Roman" w:eastAsia="黑体" w:cs="Times New Roman"/>
          <w:b/>
          <w:bCs/>
          <w:sz w:val="26"/>
          <w:szCs w:val="26"/>
        </w:rPr>
        <w:t>招生</w:t>
      </w:r>
      <w:r>
        <w:rPr>
          <w:rFonts w:hint="eastAsia" w:ascii="黑体" w:hAnsi="Times New Roman" w:eastAsia="黑体" w:cs="Times New Roman"/>
          <w:b/>
          <w:bCs/>
          <w:sz w:val="26"/>
          <w:szCs w:val="26"/>
          <w:lang w:eastAsia="zh-CN"/>
        </w:rPr>
        <w:t>录取基本情况</w:t>
      </w:r>
      <w:bookmarkEnd w:id="15"/>
      <w:bookmarkEnd w:id="16"/>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近三年来，我校国际商务专硕学位点共录取学生</w:t>
      </w:r>
      <w:r>
        <w:rPr>
          <w:rFonts w:hint="eastAsia" w:ascii="宋体" w:hAnsi="宋体" w:eastAsia="宋体" w:cs="Times New Roman"/>
          <w:sz w:val="24"/>
          <w:lang w:val="en-US"/>
        </w:rPr>
        <w:t>45人，均为</w:t>
      </w:r>
      <w:r>
        <w:rPr>
          <w:rFonts w:hint="eastAsia" w:ascii="宋体" w:hAnsi="宋体" w:eastAsia="宋体" w:cs="Times New Roman"/>
          <w:sz w:val="24"/>
        </w:rPr>
        <w:t>全日制硕士研究生，其中，</w:t>
      </w:r>
      <w:r>
        <w:rPr>
          <w:rFonts w:hint="eastAsia" w:ascii="宋体" w:hAnsi="宋体" w:eastAsia="宋体" w:cs="Times New Roman"/>
          <w:sz w:val="24"/>
          <w:lang w:val="en-US"/>
        </w:rPr>
        <w:t>2019年录取13人，2020年录取15人，2021年录取17人，总体录取生源质量较高，招生规模较稳定。具体</w:t>
      </w:r>
      <w:r>
        <w:rPr>
          <w:rFonts w:hint="eastAsia" w:ascii="宋体" w:hAnsi="宋体" w:eastAsia="宋体" w:cs="Times New Roman"/>
          <w:sz w:val="24"/>
        </w:rPr>
        <w:t>如表</w:t>
      </w:r>
      <w:r>
        <w:rPr>
          <w:rFonts w:hint="eastAsia" w:ascii="宋体" w:hAnsi="宋体" w:eastAsia="宋体" w:cs="Times New Roman"/>
          <w:sz w:val="24"/>
          <w:lang w:val="en-US" w:eastAsia="zh-CN"/>
        </w:rPr>
        <w:t>4-1</w:t>
      </w:r>
      <w:r>
        <w:rPr>
          <w:rFonts w:hint="eastAsia" w:ascii="宋体" w:hAnsi="宋体" w:eastAsia="宋体" w:cs="Times New Roman"/>
          <w:sz w:val="24"/>
        </w:rPr>
        <w:t>所示。</w:t>
      </w: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w:t>
      </w:r>
      <w:r>
        <w:rPr>
          <w:rFonts w:hint="eastAsia" w:ascii="宋体" w:hAnsi="宋体" w:eastAsia="宋体" w:cs="Times New Roman"/>
          <w:sz w:val="21"/>
          <w:lang w:val="en-US" w:eastAsia="zh-CN"/>
        </w:rPr>
        <w:t>4-1</w:t>
      </w:r>
      <w:r>
        <w:rPr>
          <w:rFonts w:hint="eastAsia" w:ascii="宋体" w:hAnsi="宋体" w:eastAsia="宋体" w:cs="Times New Roman"/>
          <w:sz w:val="21"/>
        </w:rPr>
        <w:t xml:space="preserve">  </w:t>
      </w:r>
      <w:r>
        <w:rPr>
          <w:rFonts w:hint="eastAsia" w:ascii="宋体" w:hAnsi="宋体" w:eastAsia="宋体" w:cs="Times New Roman"/>
          <w:sz w:val="21"/>
          <w:lang w:eastAsia="zh-CN"/>
        </w:rPr>
        <w:t>国际商务专业</w:t>
      </w:r>
      <w:r>
        <w:rPr>
          <w:rFonts w:hint="eastAsia" w:ascii="宋体" w:hAnsi="宋体" w:eastAsia="宋体" w:cs="Times New Roman"/>
          <w:sz w:val="21"/>
        </w:rPr>
        <w:t>硕士研究生招生与学位授予情况</w:t>
      </w:r>
    </w:p>
    <w:tbl>
      <w:tblPr>
        <w:tblStyle w:val="13"/>
        <w:tblW w:w="7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245"/>
        <w:gridCol w:w="1140"/>
        <w:gridCol w:w="132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96" w:type="dxa"/>
            <w:vMerge w:val="restart"/>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招生和学位授予</w:t>
            </w:r>
          </w:p>
        </w:tc>
        <w:tc>
          <w:tcPr>
            <w:tcW w:w="3705" w:type="dxa"/>
            <w:gridSpan w:val="3"/>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年度</w:t>
            </w:r>
          </w:p>
        </w:tc>
        <w:tc>
          <w:tcPr>
            <w:tcW w:w="1425" w:type="dxa"/>
            <w:vMerge w:val="restart"/>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96" w:type="dxa"/>
            <w:vMerge w:val="continue"/>
            <w:vAlign w:val="center"/>
          </w:tcPr>
          <w:p>
            <w:pPr>
              <w:jc w:val="center"/>
              <w:rPr>
                <w:rFonts w:hint="eastAsia" w:ascii="Times New Roman" w:hAnsi="Times New Roman" w:eastAsia="宋体" w:cs="Times New Roman"/>
                <w:color w:val="000000"/>
                <w:sz w:val="21"/>
                <w:lang w:eastAsia="zh-CN"/>
              </w:rPr>
            </w:pPr>
          </w:p>
        </w:tc>
        <w:tc>
          <w:tcPr>
            <w:tcW w:w="1245"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2019</w:t>
            </w:r>
          </w:p>
        </w:tc>
        <w:tc>
          <w:tcPr>
            <w:tcW w:w="114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w:t>
            </w:r>
          </w:p>
        </w:tc>
        <w:tc>
          <w:tcPr>
            <w:tcW w:w="132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w:t>
            </w:r>
          </w:p>
        </w:tc>
        <w:tc>
          <w:tcPr>
            <w:tcW w:w="1425" w:type="dxa"/>
            <w:vMerge w:val="continue"/>
            <w:vAlign w:val="center"/>
          </w:tcPr>
          <w:p>
            <w:pPr>
              <w:jc w:val="center"/>
              <w:rPr>
                <w:rFonts w:hint="eastAsia" w:ascii="Times New Roman" w:hAnsi="Times New Roman" w:eastAsia="宋体" w:cs="Times New Roman"/>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96"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rPr>
              <w:t>全日制招生人数</w:t>
            </w:r>
          </w:p>
        </w:tc>
        <w:tc>
          <w:tcPr>
            <w:tcW w:w="124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rPr>
              <w:t>1</w:t>
            </w:r>
            <w:r>
              <w:rPr>
                <w:rFonts w:hint="eastAsia" w:ascii="Times New Roman" w:hAnsi="Times New Roman" w:eastAsia="宋体" w:cs="Times New Roman"/>
                <w:color w:val="000000"/>
                <w:sz w:val="21"/>
                <w:lang w:val="en-US" w:eastAsia="zh-CN"/>
              </w:rPr>
              <w:t>3</w:t>
            </w:r>
          </w:p>
        </w:tc>
        <w:tc>
          <w:tcPr>
            <w:tcW w:w="114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rPr>
              <w:t>1</w:t>
            </w:r>
            <w:r>
              <w:rPr>
                <w:rFonts w:hint="eastAsia" w:ascii="Times New Roman" w:hAnsi="Times New Roman" w:eastAsia="宋体" w:cs="Times New Roman"/>
                <w:color w:val="000000"/>
                <w:sz w:val="21"/>
                <w:lang w:val="en-US" w:eastAsia="zh-CN"/>
              </w:rPr>
              <w:t>5</w:t>
            </w:r>
          </w:p>
        </w:tc>
        <w:tc>
          <w:tcPr>
            <w:tcW w:w="132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17</w:t>
            </w:r>
          </w:p>
        </w:tc>
        <w:tc>
          <w:tcPr>
            <w:tcW w:w="1425"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596" w:type="dxa"/>
            <w:vAlign w:val="center"/>
          </w:tcPr>
          <w:p>
            <w:pPr>
              <w:jc w:val="center"/>
              <w:rPr>
                <w:rFonts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学位授予</w:t>
            </w:r>
            <w:r>
              <w:rPr>
                <w:rFonts w:hint="eastAsia" w:ascii="Times New Roman" w:hAnsi="Times New Roman" w:eastAsia="宋体" w:cs="Times New Roman"/>
                <w:color w:val="000000"/>
                <w:sz w:val="21"/>
              </w:rPr>
              <w:t>人数</w:t>
            </w:r>
          </w:p>
        </w:tc>
        <w:tc>
          <w:tcPr>
            <w:tcW w:w="1245" w:type="dxa"/>
            <w:vAlign w:val="center"/>
          </w:tcPr>
          <w:p>
            <w:pPr>
              <w:jc w:val="center"/>
              <w:rPr>
                <w:rFonts w:ascii="Times New Roman" w:hAnsi="Times New Roman" w:eastAsia="宋体" w:cs="Times New Roman"/>
                <w:color w:val="000000"/>
                <w:sz w:val="21"/>
              </w:rPr>
            </w:pPr>
          </w:p>
        </w:tc>
        <w:tc>
          <w:tcPr>
            <w:tcW w:w="114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rPr>
              <w:t>1</w:t>
            </w:r>
            <w:r>
              <w:rPr>
                <w:rFonts w:hint="eastAsia" w:ascii="Times New Roman" w:hAnsi="Times New Roman" w:eastAsia="宋体" w:cs="Times New Roman"/>
                <w:color w:val="000000"/>
                <w:sz w:val="21"/>
                <w:lang w:val="en-US" w:eastAsia="zh-CN"/>
              </w:rPr>
              <w:t>3</w:t>
            </w:r>
          </w:p>
        </w:tc>
        <w:tc>
          <w:tcPr>
            <w:tcW w:w="132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15</w:t>
            </w:r>
          </w:p>
        </w:tc>
        <w:tc>
          <w:tcPr>
            <w:tcW w:w="14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rPr>
              <w:t>2</w:t>
            </w:r>
            <w:r>
              <w:rPr>
                <w:rFonts w:hint="eastAsia" w:ascii="Times New Roman" w:hAnsi="Times New Roman" w:eastAsia="宋体" w:cs="Times New Roman"/>
                <w:color w:val="000000"/>
                <w:sz w:val="21"/>
                <w:lang w:val="en-US" w:eastAsia="zh-CN"/>
              </w:rPr>
              <w:t>8</w:t>
            </w:r>
          </w:p>
        </w:tc>
      </w:tr>
    </w:tbl>
    <w:p>
      <w:pPr>
        <w:spacing w:line="360" w:lineRule="auto"/>
        <w:rPr>
          <w:rStyle w:val="26"/>
          <w:rFonts w:ascii="仿宋_GB2312" w:hAnsi="仿宋_GB2312" w:eastAsia="仿宋_GB2312" w:cs="仿宋_GB2312"/>
          <w:bCs/>
          <w:sz w:val="28"/>
          <w:szCs w:val="28"/>
        </w:rPr>
      </w:pPr>
    </w:p>
    <w:p>
      <w:pPr>
        <w:spacing w:before="480" w:after="120"/>
        <w:outlineLvl w:val="1"/>
        <w:rPr>
          <w:rFonts w:hint="eastAsia" w:ascii="黑体" w:hAnsi="Times New Roman" w:eastAsia="黑体" w:cs="Times New Roman"/>
          <w:b/>
          <w:bCs/>
          <w:sz w:val="28"/>
          <w:szCs w:val="28"/>
        </w:rPr>
      </w:pPr>
      <w:bookmarkStart w:id="17" w:name="_Toc24797"/>
      <w:r>
        <w:rPr>
          <w:rFonts w:hint="eastAsia" w:ascii="黑体" w:hAnsi="Times New Roman" w:eastAsia="黑体" w:cs="Times New Roman"/>
          <w:b/>
          <w:bCs/>
          <w:sz w:val="28"/>
          <w:szCs w:val="28"/>
          <w:lang w:val="en-US" w:eastAsia="zh-CN"/>
        </w:rPr>
        <w:t>4.2</w:t>
      </w:r>
      <w:r>
        <w:rPr>
          <w:rFonts w:hint="eastAsia" w:ascii="黑体" w:hAnsi="Times New Roman" w:eastAsia="黑体" w:cs="Times New Roman"/>
          <w:b/>
          <w:bCs/>
          <w:sz w:val="28"/>
          <w:szCs w:val="28"/>
        </w:rPr>
        <w:t>教师队伍建设</w:t>
      </w:r>
      <w:bookmarkEnd w:id="17"/>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本学位点共有专任教师20名，其中教授3名，副教授</w:t>
      </w:r>
      <w:r>
        <w:rPr>
          <w:rFonts w:hint="eastAsia" w:ascii="宋体" w:hAnsi="宋体" w:eastAsia="宋体" w:cs="Times New Roman"/>
          <w:sz w:val="24"/>
          <w:lang w:val="en-US" w:eastAsia="zh-CN"/>
        </w:rPr>
        <w:t>7</w:t>
      </w:r>
      <w:r>
        <w:rPr>
          <w:rFonts w:hint="eastAsia" w:ascii="宋体" w:hAnsi="宋体" w:eastAsia="宋体" w:cs="Times New Roman"/>
          <w:sz w:val="24"/>
        </w:rPr>
        <w:t>名，具有高级职称比例占5</w:t>
      </w:r>
      <w:r>
        <w:rPr>
          <w:rFonts w:hint="eastAsia" w:ascii="宋体" w:hAnsi="宋体" w:eastAsia="宋体" w:cs="Times New Roman"/>
          <w:sz w:val="24"/>
          <w:lang w:val="en-US" w:eastAsia="zh-CN"/>
        </w:rPr>
        <w:t>0</w:t>
      </w:r>
      <w:r>
        <w:rPr>
          <w:rFonts w:hint="eastAsia" w:ascii="宋体" w:hAnsi="宋体" w:eastAsia="宋体" w:cs="Times New Roman"/>
          <w:sz w:val="24"/>
        </w:rPr>
        <w:t>%以上，博士10名，占总人数50%，45岁以下</w:t>
      </w:r>
      <w:r>
        <w:rPr>
          <w:rFonts w:hint="eastAsia" w:ascii="宋体" w:hAnsi="宋体" w:eastAsia="宋体" w:cs="Times New Roman"/>
          <w:sz w:val="24"/>
          <w:lang w:val="en-US" w:eastAsia="zh-CN"/>
        </w:rPr>
        <w:t>10</w:t>
      </w:r>
      <w:r>
        <w:rPr>
          <w:rFonts w:hint="eastAsia" w:ascii="宋体" w:hAnsi="宋体" w:eastAsia="宋体" w:cs="Times New Roman"/>
          <w:sz w:val="24"/>
        </w:rPr>
        <w:t>人，占总人数</w:t>
      </w:r>
      <w:r>
        <w:rPr>
          <w:rFonts w:hint="eastAsia" w:ascii="宋体" w:hAnsi="宋体" w:eastAsia="宋体" w:cs="Times New Roman"/>
          <w:sz w:val="24"/>
          <w:lang w:val="en-US" w:eastAsia="zh-CN"/>
        </w:rPr>
        <w:t>50</w:t>
      </w:r>
      <w:r>
        <w:rPr>
          <w:rFonts w:hint="eastAsia" w:ascii="宋体" w:hAnsi="宋体" w:eastAsia="宋体" w:cs="Times New Roman"/>
          <w:sz w:val="24"/>
        </w:rPr>
        <w:t>%，专任教师获得外单位硕士以上学位占95%，职称结构、学历结构、年龄结构和学缘结构合理，学术梯队具有可持续发展能力。</w:t>
      </w:r>
      <w:r>
        <w:rPr>
          <w:rFonts w:hint="eastAsia" w:ascii="宋体" w:hAnsi="宋体" w:eastAsia="宋体" w:cs="Times New Roman"/>
          <w:sz w:val="24"/>
          <w:lang w:eastAsia="zh-CN"/>
        </w:rPr>
        <w:t>如表</w:t>
      </w:r>
      <w:r>
        <w:rPr>
          <w:rFonts w:hint="eastAsia" w:ascii="宋体" w:hAnsi="宋体" w:eastAsia="宋体" w:cs="Times New Roman"/>
          <w:sz w:val="24"/>
          <w:lang w:val="en-US" w:eastAsia="zh-CN"/>
        </w:rPr>
        <w:t>4-2所示</w:t>
      </w:r>
      <w:r>
        <w:rPr>
          <w:rFonts w:hint="eastAsia" w:ascii="宋体" w:hAnsi="宋体" w:eastAsia="宋体" w:cs="Times New Roman"/>
          <w:sz w:val="24"/>
        </w:rPr>
        <w:t xml:space="preserve">。     </w:t>
      </w: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表4</w:t>
      </w:r>
      <w:r>
        <w:rPr>
          <w:rFonts w:hint="eastAsia" w:ascii="宋体" w:hAnsi="宋体" w:eastAsia="宋体" w:cs="Times New Roman"/>
          <w:sz w:val="21"/>
          <w:lang w:val="en-US" w:eastAsia="zh-CN"/>
        </w:rPr>
        <w:t>-2</w:t>
      </w:r>
      <w:r>
        <w:rPr>
          <w:rFonts w:hint="eastAsia" w:ascii="宋体" w:hAnsi="宋体" w:eastAsia="宋体" w:cs="Times New Roman"/>
          <w:sz w:val="21"/>
        </w:rPr>
        <w:t xml:space="preserve">  学位</w:t>
      </w:r>
      <w:r>
        <w:rPr>
          <w:rFonts w:hint="eastAsia" w:ascii="宋体" w:hAnsi="宋体" w:eastAsia="宋体" w:cs="Times New Roman"/>
          <w:sz w:val="21"/>
          <w:lang w:eastAsia="zh-CN"/>
        </w:rPr>
        <w:t>部分导师</w:t>
      </w:r>
      <w:r>
        <w:rPr>
          <w:rFonts w:hint="eastAsia" w:ascii="宋体" w:hAnsi="宋体" w:eastAsia="宋体" w:cs="Times New Roman"/>
          <w:sz w:val="21"/>
        </w:rPr>
        <w:t>情况一览表</w:t>
      </w:r>
    </w:p>
    <w:tbl>
      <w:tblPr>
        <w:tblStyle w:val="14"/>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990"/>
        <w:gridCol w:w="570"/>
        <w:gridCol w:w="960"/>
        <w:gridCol w:w="825"/>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4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99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姓名</w:t>
            </w:r>
          </w:p>
        </w:tc>
        <w:tc>
          <w:tcPr>
            <w:tcW w:w="57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年龄</w:t>
            </w:r>
          </w:p>
        </w:tc>
        <w:tc>
          <w:tcPr>
            <w:tcW w:w="9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专业技术职务</w:t>
            </w:r>
          </w:p>
        </w:tc>
        <w:tc>
          <w:tcPr>
            <w:tcW w:w="825"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最高学位</w:t>
            </w:r>
          </w:p>
        </w:tc>
        <w:tc>
          <w:tcPr>
            <w:tcW w:w="4134" w:type="dxa"/>
            <w:vAlign w:val="center"/>
          </w:tcPr>
          <w:p>
            <w:pPr>
              <w:jc w:val="center"/>
              <w:rPr>
                <w:rFonts w:hint="eastAsia" w:ascii="Times New Roman" w:hAnsi="Times New Roman" w:eastAsia="宋体" w:cs="Times New Roman"/>
                <w:color w:val="000000"/>
                <w:sz w:val="21"/>
              </w:rPr>
            </w:pPr>
          </w:p>
          <w:p>
            <w:pPr>
              <w:jc w:val="center"/>
              <w:rPr>
                <w:rFonts w:hint="eastAsia" w:ascii="Times New Roman" w:hAnsi="Times New Roman" w:eastAsia="宋体" w:cs="Times New Roman"/>
                <w:color w:val="000000"/>
                <w:sz w:val="21"/>
              </w:rPr>
            </w:pPr>
          </w:p>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导师基本</w:t>
            </w:r>
            <w:r>
              <w:rPr>
                <w:rFonts w:hint="eastAsia" w:ascii="Times New Roman" w:hAnsi="Times New Roman" w:eastAsia="宋体" w:cs="Times New Roman"/>
                <w:color w:val="000000"/>
                <w:sz w:val="21"/>
              </w:rPr>
              <w:t>情况</w:t>
            </w:r>
            <w:r>
              <w:rPr>
                <w:rFonts w:hint="eastAsia" w:ascii="Times New Roman" w:hAnsi="Times New Roman" w:eastAsia="宋体" w:cs="Times New Roman"/>
                <w:color w:val="000000"/>
                <w:sz w:val="21"/>
                <w:lang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4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1</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袁青燕</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45</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教授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主持国家社科基金1项，主持省级课题6项，发表学术论文20余篇，出版专著1部，副主编教材1部，指导学生参加国家级学科竞赛获一等奖2项，二等奖1项，三等奖3项，省级学科竞赛获二等奖3项，三等奖6项。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2</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张定方</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53</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教授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硕士</w:t>
            </w:r>
          </w:p>
        </w:tc>
        <w:tc>
          <w:tcPr>
            <w:tcW w:w="4134" w:type="dxa"/>
            <w:vAlign w:val="top"/>
          </w:tcPr>
          <w:p>
            <w:pPr>
              <w:jc w:val="left"/>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主持或国家级、省部级科研项目近10项，发表独撰或第一作者的学术论文20篇，分别发表在江西社科、学术交流、商业时代、企业经济、现代教育管理、职业技术教育等核心</w:t>
            </w:r>
            <w:r>
              <w:rPr>
                <w:rFonts w:hint="eastAsia" w:ascii="Times New Roman" w:hAnsi="Times New Roman" w:eastAsia="宋体" w:cs="Times New Roman"/>
                <w:color w:val="000000"/>
                <w:sz w:val="21"/>
                <w:lang w:eastAsia="zh-CN"/>
              </w:rPr>
              <w:t>期刊</w:t>
            </w:r>
            <w:r>
              <w:rPr>
                <w:rFonts w:hint="eastAsia" w:ascii="Times New Roman" w:hAnsi="Times New Roman" w:eastAsia="宋体" w:cs="Times New Roman"/>
                <w:color w:val="000000"/>
                <w:sz w:val="21"/>
              </w:rPr>
              <w:t>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3</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舒斯亮</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40</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副教授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top"/>
          </w:tcPr>
          <w:p>
            <w:pPr>
              <w:jc w:val="left"/>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主持在研国家自然科学基金项目1项，主持完成省级项目4项，在中国管理科学、软科学、运筹与管理、控制与决策、计算机集成制造系统等期刊上发表CSSCI论文6篇，CSCD论文3篇，北大核心论文4篇。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46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4</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杨春季</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44</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副教授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top"/>
          </w:tcPr>
          <w:p>
            <w:pPr>
              <w:jc w:val="left"/>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主持完成省级课题7项，在研省级课题1项，出版专著1部，发表CSSCI、北大核心等期刊论文20余篇。研究成果曾获江西省第四届教育科学优秀成果奖三等奖一项，校级荣誉多项。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4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5</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熊娟娟</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31</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讲师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擅长数量经济学分析和运用，长期致力于科技创新和财政对策研究，先后主持省级课题一项，参与国家重大课题、财政厅课题、省级课题等8项，发表cssci的论文1篇，被人大复印资料全文转载论文1篇。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6</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苏小玲</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49</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副教授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硕士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从事国际经济与贸易专业教学与科研28年，主讲《国际贸易学》等课程，9次教学优秀奖获得者。主持完成或在研各类科研、教研课题10多项，参与研究国家级项目1项、省级项目7项。发表论文10多篇。入选教育部院校评估评估专家、江西省科技厅评审专家。指导国家级、省级、校级学生科研、创新、创业、比赛等项目近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46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7</w:t>
            </w:r>
          </w:p>
        </w:tc>
        <w:tc>
          <w:tcPr>
            <w:tcW w:w="99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eastAsia="zh-CN"/>
              </w:rPr>
              <w:t>熊青龙</w:t>
            </w:r>
          </w:p>
        </w:tc>
        <w:tc>
          <w:tcPr>
            <w:tcW w:w="57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44</w:t>
            </w:r>
          </w:p>
        </w:tc>
        <w:tc>
          <w:tcPr>
            <w:tcW w:w="96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eastAsia="zh-CN"/>
              </w:rPr>
              <w:t>副教授</w:t>
            </w:r>
          </w:p>
        </w:tc>
        <w:tc>
          <w:tcPr>
            <w:tcW w:w="825"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eastAsia="zh-CN"/>
              </w:rPr>
              <w:t>博士</w:t>
            </w:r>
          </w:p>
        </w:tc>
        <w:tc>
          <w:tcPr>
            <w:tcW w:w="4134" w:type="dxa"/>
            <w:vAlign w:val="top"/>
          </w:tcPr>
          <w:p>
            <w:pPr>
              <w:jc w:val="left"/>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美国林肯纪念大学访问学者，中国世界经济学会理事，民盟江西省委会经济专委会副主任。主持完成国家社科基金项目一项，出版专著一部，发表核心期刊论文10余篇。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8</w:t>
            </w:r>
          </w:p>
        </w:tc>
        <w:tc>
          <w:tcPr>
            <w:tcW w:w="99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马伟伟</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36</w:t>
            </w:r>
          </w:p>
        </w:tc>
        <w:tc>
          <w:tcPr>
            <w:tcW w:w="960"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讲师</w:t>
            </w:r>
          </w:p>
        </w:tc>
        <w:tc>
          <w:tcPr>
            <w:tcW w:w="825" w:type="dxa"/>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博士</w:t>
            </w:r>
          </w:p>
        </w:tc>
        <w:tc>
          <w:tcPr>
            <w:tcW w:w="4134" w:type="dxa"/>
            <w:vAlign w:val="top"/>
          </w:tcPr>
          <w:p>
            <w:pPr>
              <w:jc w:val="left"/>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rPr>
              <w:t>主持课题省级课题2项（在研），参与国家级课题2项，独著发表CSSCI论文1篇，其他类型刊物论文若干。指导学生参加全国物流专业比赛，获全国一等奖、三等奖，指导学生参加江西省科技创新竞赛，获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val="en-US" w:eastAsia="zh-CN"/>
              </w:rPr>
              <w:t>9</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马文</w:t>
            </w:r>
          </w:p>
        </w:tc>
        <w:tc>
          <w:tcPr>
            <w:tcW w:w="570" w:type="dxa"/>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40</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讲师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主要研究方向为国际法、国际经济法、国际知识产权法等。先后主持省级人文、省社科规划、省教育规划课题、省知识产权软科学课题，发表学术论文多篇。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6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10</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刘兰勇</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34</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讲师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近年来为本科生和研究生讲授5门核心课程，教学效果良好，指导学生参加比赛获得国家级和省级奖励5次，参与6项国家自然科学基金项目和省级项目，在SAGE Open、国际贸易、种植与养殖、青海师范大学学报等国内外期刊发表论文4篇。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6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11</w:t>
            </w:r>
          </w:p>
        </w:tc>
        <w:tc>
          <w:tcPr>
            <w:tcW w:w="99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谢瑶</w:t>
            </w:r>
          </w:p>
        </w:tc>
        <w:tc>
          <w:tcPr>
            <w:tcW w:w="570" w:type="dxa"/>
            <w:vAlign w:val="center"/>
          </w:tcPr>
          <w:p>
            <w:pPr>
              <w:jc w:val="center"/>
              <w:rPr>
                <w:rFonts w:hint="default"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36</w:t>
            </w:r>
          </w:p>
        </w:tc>
        <w:tc>
          <w:tcPr>
            <w:tcW w:w="960"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讲师</w:t>
            </w:r>
          </w:p>
        </w:tc>
        <w:tc>
          <w:tcPr>
            <w:tcW w:w="825" w:type="dxa"/>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博士</w:t>
            </w:r>
          </w:p>
        </w:tc>
        <w:tc>
          <w:tcPr>
            <w:tcW w:w="4134" w:type="dxa"/>
            <w:vAlign w:val="center"/>
          </w:tcPr>
          <w:p>
            <w:pPr>
              <w:jc w:val="left"/>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研究方向为教育经济学</w:t>
            </w:r>
            <w:r>
              <w:rPr>
                <w:rFonts w:hint="eastAsia" w:ascii="Times New Roman" w:hAnsi="Times New Roman" w:eastAsia="宋体" w:cs="Times New Roman"/>
                <w:color w:val="000000"/>
                <w:sz w:val="21"/>
                <w:lang w:eastAsia="zh-CN"/>
              </w:rPr>
              <w:t>、</w:t>
            </w:r>
            <w:r>
              <w:rPr>
                <w:rFonts w:hint="eastAsia" w:ascii="Times New Roman" w:hAnsi="Times New Roman" w:eastAsia="宋体" w:cs="Times New Roman"/>
                <w:color w:val="000000"/>
                <w:sz w:val="21"/>
              </w:rPr>
              <w:t>国际商务等。主持省级课题两项，发表CSSCI等论文十余篇，多篇论文被《中国教育报》、《教育学文摘》、《人大复印资料》等全文转载。</w:t>
            </w:r>
          </w:p>
        </w:tc>
      </w:tr>
    </w:tbl>
    <w:p>
      <w:pPr>
        <w:spacing w:line="360" w:lineRule="auto"/>
        <w:rPr>
          <w:rFonts w:ascii="仿宋_GB2312" w:hAnsi="仿宋_GB2312" w:eastAsia="仿宋_GB2312" w:cs="仿宋_GB2312"/>
          <w:sz w:val="28"/>
          <w:szCs w:val="28"/>
        </w:rPr>
      </w:pPr>
    </w:p>
    <w:p>
      <w:pPr>
        <w:spacing w:before="480" w:after="120"/>
        <w:outlineLvl w:val="1"/>
        <w:rPr>
          <w:rFonts w:hint="eastAsia" w:ascii="黑体" w:hAnsi="Times New Roman" w:eastAsia="黑体" w:cs="Times New Roman"/>
          <w:b/>
          <w:bCs/>
          <w:sz w:val="28"/>
          <w:szCs w:val="28"/>
        </w:rPr>
      </w:pPr>
      <w:bookmarkStart w:id="18" w:name="_Toc8461"/>
      <w:r>
        <w:rPr>
          <w:rFonts w:hint="eastAsia" w:ascii="黑体" w:hAnsi="Times New Roman" w:eastAsia="黑体" w:cs="Times New Roman"/>
          <w:b/>
          <w:bCs/>
          <w:sz w:val="28"/>
          <w:szCs w:val="28"/>
          <w:lang w:val="en-US" w:eastAsia="zh-CN"/>
        </w:rPr>
        <w:t>4.3</w:t>
      </w:r>
      <w:r>
        <w:rPr>
          <w:rFonts w:hint="eastAsia" w:ascii="黑体" w:hAnsi="Times New Roman" w:eastAsia="黑体" w:cs="Times New Roman"/>
          <w:b/>
          <w:bCs/>
          <w:sz w:val="28"/>
          <w:szCs w:val="28"/>
        </w:rPr>
        <w:t>科学研究</w:t>
      </w:r>
      <w:bookmarkEnd w:id="18"/>
    </w:p>
    <w:p>
      <w:pPr>
        <w:pStyle w:val="30"/>
        <w:snapToGrid w:val="0"/>
        <w:spacing w:line="360" w:lineRule="auto"/>
        <w:ind w:firstLine="56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近三年来，学位点教师积极申请各级科研项目，获批国家级项目2项，经费48万元；省部级项目9项，校级项目2项；横向项目1 项，经费15万元。如表4-3所示。  </w:t>
      </w:r>
    </w:p>
    <w:p>
      <w:pPr>
        <w:widowControl/>
        <w:adjustRightInd w:val="0"/>
        <w:snapToGrid w:val="0"/>
        <w:ind w:firstLine="420" w:firstLineChars="200"/>
        <w:jc w:val="center"/>
        <w:rPr>
          <w:rFonts w:hint="eastAsia" w:ascii="仿宋" w:hAnsi="仿宋" w:eastAsia="仿宋" w:cs="仿宋"/>
          <w:kern w:val="0"/>
          <w:sz w:val="28"/>
          <w:szCs w:val="28"/>
          <w:lang w:eastAsia="zh-CN"/>
        </w:rPr>
      </w:pPr>
      <w:r>
        <w:rPr>
          <w:rFonts w:hint="eastAsia" w:ascii="宋体" w:hAnsi="宋体" w:eastAsia="宋体" w:cs="Times New Roman"/>
          <w:sz w:val="21"/>
        </w:rPr>
        <w:t>表</w:t>
      </w:r>
      <w:r>
        <w:rPr>
          <w:rFonts w:hint="eastAsia" w:ascii="宋体" w:hAnsi="宋体" w:eastAsia="宋体" w:cs="Times New Roman"/>
          <w:sz w:val="21"/>
          <w:lang w:val="en-US" w:eastAsia="zh-CN"/>
        </w:rPr>
        <w:t>4-3</w:t>
      </w:r>
      <w:r>
        <w:rPr>
          <w:rFonts w:hint="eastAsia" w:ascii="宋体" w:hAnsi="宋体" w:eastAsia="宋体" w:cs="Times New Roman"/>
          <w:sz w:val="21"/>
        </w:rPr>
        <w:t xml:space="preserve">  近</w:t>
      </w:r>
      <w:r>
        <w:rPr>
          <w:rFonts w:hint="eastAsia" w:ascii="宋体" w:hAnsi="宋体" w:eastAsia="宋体" w:cs="Times New Roman"/>
          <w:sz w:val="21"/>
          <w:lang w:eastAsia="zh-CN"/>
        </w:rPr>
        <w:t>三</w:t>
      </w:r>
      <w:r>
        <w:rPr>
          <w:rFonts w:hint="eastAsia" w:ascii="宋体" w:hAnsi="宋体" w:eastAsia="宋体" w:cs="Times New Roman"/>
          <w:sz w:val="21"/>
        </w:rPr>
        <w:t>年来承担</w:t>
      </w:r>
      <w:r>
        <w:rPr>
          <w:rFonts w:hint="eastAsia" w:ascii="宋体" w:hAnsi="宋体" w:eastAsia="宋体" w:cs="Times New Roman"/>
          <w:sz w:val="21"/>
          <w:lang w:eastAsia="zh-CN"/>
        </w:rPr>
        <w:t>国家级</w:t>
      </w:r>
      <w:r>
        <w:rPr>
          <w:rFonts w:hint="eastAsia" w:ascii="宋体" w:hAnsi="宋体" w:eastAsia="宋体" w:cs="Times New Roman"/>
          <w:sz w:val="21"/>
        </w:rPr>
        <w:t>科研项目</w:t>
      </w:r>
      <w:r>
        <w:rPr>
          <w:rFonts w:hint="eastAsia" w:ascii="宋体" w:hAnsi="宋体" w:eastAsia="宋体" w:cs="Times New Roman"/>
          <w:sz w:val="21"/>
          <w:lang w:eastAsia="zh-CN"/>
        </w:rPr>
        <w:t>情况</w:t>
      </w:r>
    </w:p>
    <w:tbl>
      <w:tblPr>
        <w:tblStyle w:val="13"/>
        <w:tblW w:w="51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8"/>
        <w:gridCol w:w="1003"/>
        <w:gridCol w:w="2450"/>
        <w:gridCol w:w="1538"/>
        <w:gridCol w:w="1072"/>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姓名</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项目名称</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项目来源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到账经费（万元)</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熊青龙</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援助波动对受援国减贫影响及其对我国援外政策的启示研究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国家社会科学基金一般项目</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2018.06—2023.03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舒斯亮</w:t>
            </w:r>
          </w:p>
        </w:tc>
        <w:tc>
          <w:tcPr>
            <w:tcW w:w="1395"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基于公平关切行为评价的供应链决策与协调策略</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国家自然科学基金委</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28</w:t>
            </w:r>
          </w:p>
        </w:tc>
        <w:tc>
          <w:tcPr>
            <w:tcW w:w="1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2020.1—2023.12</w:t>
            </w:r>
          </w:p>
        </w:tc>
      </w:tr>
    </w:tbl>
    <w:p>
      <w:pPr>
        <w:widowControl/>
        <w:adjustRightInd w:val="0"/>
        <w:snapToGrid w:val="0"/>
        <w:ind w:firstLine="640" w:firstLineChars="200"/>
        <w:jc w:val="left"/>
        <w:outlineLvl w:val="9"/>
        <w:rPr>
          <w:rFonts w:hint="eastAsia" w:cs="Times New Roman" w:asciiTheme="minorEastAsia" w:hAnsiTheme="minorEastAsia"/>
          <w:kern w:val="0"/>
          <w:szCs w:val="21"/>
          <w:lang w:eastAsia="zh-CN"/>
        </w:rPr>
      </w:pPr>
    </w:p>
    <w:p>
      <w:pPr>
        <w:spacing w:line="360" w:lineRule="auto"/>
        <w:ind w:firstLine="560"/>
        <w:outlineLvl w:val="9"/>
        <w:rPr>
          <w:rFonts w:hint="eastAsia" w:ascii="宋体" w:hAnsi="宋体" w:eastAsia="宋体" w:cs="Times New Roman"/>
          <w:sz w:val="24"/>
          <w:lang w:val="en-US"/>
        </w:rPr>
      </w:pPr>
    </w:p>
    <w:p>
      <w:pPr>
        <w:spacing w:line="360" w:lineRule="auto"/>
        <w:ind w:firstLine="560"/>
        <w:outlineLvl w:val="9"/>
        <w:rPr>
          <w:rStyle w:val="26"/>
          <w:rFonts w:hint="eastAsia" w:ascii="仿宋_GB2312" w:hAnsi="仿宋_GB2312" w:eastAsia="仿宋_GB2312" w:cs="仿宋_GB2312"/>
          <w:bCs/>
          <w:color w:val="auto"/>
          <w:sz w:val="28"/>
          <w:szCs w:val="28"/>
        </w:rPr>
      </w:pPr>
      <w:r>
        <w:rPr>
          <w:rFonts w:hint="eastAsia" w:ascii="宋体" w:hAnsi="宋体" w:eastAsia="宋体" w:cs="Times New Roman"/>
          <w:sz w:val="24"/>
          <w:lang w:val="en-US"/>
        </w:rPr>
        <w:t>2021年，国际商务专硕</w:t>
      </w:r>
      <w:r>
        <w:rPr>
          <w:rFonts w:hint="eastAsia" w:ascii="宋体" w:hAnsi="宋体" w:eastAsia="宋体" w:cs="Times New Roman"/>
          <w:sz w:val="24"/>
        </w:rPr>
        <w:t>点发表学术论文</w:t>
      </w:r>
      <w:r>
        <w:rPr>
          <w:rFonts w:hint="eastAsia" w:ascii="宋体" w:hAnsi="宋体" w:eastAsia="宋体" w:cs="Times New Roman"/>
          <w:sz w:val="24"/>
          <w:lang w:val="en-US"/>
        </w:rPr>
        <w:t>8</w:t>
      </w:r>
      <w:r>
        <w:rPr>
          <w:rFonts w:hint="eastAsia" w:ascii="宋体" w:hAnsi="宋体" w:eastAsia="宋体" w:cs="Times New Roman"/>
          <w:sz w:val="24"/>
        </w:rPr>
        <w:t>余篇，其中CSSCI论文</w:t>
      </w:r>
      <w:r>
        <w:rPr>
          <w:rFonts w:hint="eastAsia" w:ascii="宋体" w:hAnsi="宋体" w:eastAsia="宋体" w:cs="Times New Roman"/>
          <w:sz w:val="24"/>
          <w:lang w:val="en-US"/>
        </w:rPr>
        <w:t>1</w:t>
      </w:r>
      <w:r>
        <w:rPr>
          <w:rFonts w:hint="eastAsia" w:ascii="宋体" w:hAnsi="宋体" w:eastAsia="宋体" w:cs="Times New Roman"/>
          <w:sz w:val="24"/>
        </w:rPr>
        <w:t>篇，中文核心论文</w:t>
      </w:r>
      <w:r>
        <w:rPr>
          <w:rFonts w:hint="eastAsia" w:ascii="宋体" w:hAnsi="宋体" w:eastAsia="宋体" w:cs="Times New Roman"/>
          <w:sz w:val="24"/>
          <w:lang w:val="en-US"/>
        </w:rPr>
        <w:t>1</w:t>
      </w:r>
      <w:r>
        <w:rPr>
          <w:rFonts w:hint="eastAsia" w:ascii="宋体" w:hAnsi="宋体" w:eastAsia="宋体" w:cs="Times New Roman"/>
          <w:sz w:val="24"/>
        </w:rPr>
        <w:t>篇，出版著作（含教材）</w:t>
      </w:r>
      <w:r>
        <w:rPr>
          <w:rFonts w:hint="eastAsia" w:ascii="宋体" w:hAnsi="宋体" w:eastAsia="宋体" w:cs="Times New Roman"/>
          <w:sz w:val="24"/>
          <w:lang w:val="en-US"/>
        </w:rPr>
        <w:t>1</w:t>
      </w:r>
      <w:r>
        <w:rPr>
          <w:rFonts w:hint="eastAsia" w:ascii="宋体" w:hAnsi="宋体" w:eastAsia="宋体" w:cs="Times New Roman"/>
          <w:sz w:val="24"/>
        </w:rPr>
        <w:t>部。</w:t>
      </w:r>
      <w:r>
        <w:rPr>
          <w:rFonts w:hint="eastAsia" w:ascii="宋体" w:hAnsi="宋体" w:eastAsia="宋体" w:cs="Times New Roman"/>
          <w:sz w:val="24"/>
          <w:lang w:eastAsia="zh-CN"/>
        </w:rPr>
        <w:t>如表</w:t>
      </w:r>
      <w:r>
        <w:rPr>
          <w:rFonts w:hint="eastAsia" w:ascii="宋体" w:hAnsi="宋体" w:eastAsia="宋体" w:cs="Times New Roman"/>
          <w:sz w:val="24"/>
          <w:lang w:val="en-US" w:eastAsia="zh-CN"/>
        </w:rPr>
        <w:t>4-4和表4-5所示。</w:t>
      </w:r>
      <w:r>
        <w:rPr>
          <w:rStyle w:val="26"/>
          <w:rFonts w:hint="eastAsia" w:ascii="仿宋_GB2312" w:hAnsi="仿宋_GB2312" w:eastAsia="仿宋_GB2312" w:cs="仿宋_GB2312"/>
          <w:bCs/>
          <w:color w:val="auto"/>
          <w:sz w:val="28"/>
          <w:szCs w:val="28"/>
        </w:rPr>
        <w:t xml:space="preserve"> </w:t>
      </w:r>
    </w:p>
    <w:p>
      <w:pPr>
        <w:spacing w:before="156" w:beforeLines="50" w:after="156" w:afterLines="50" w:line="300" w:lineRule="auto"/>
        <w:ind w:firstLine="539" w:firstLineChars="257"/>
        <w:jc w:val="center"/>
        <w:rPr>
          <w:rFonts w:hint="eastAsia" w:ascii="宋体" w:hAnsi="宋体" w:eastAsia="宋体" w:cs="Times New Roman"/>
          <w:sz w:val="21"/>
        </w:rPr>
      </w:pPr>
      <w:r>
        <w:rPr>
          <w:rFonts w:hint="eastAsia" w:ascii="宋体" w:hAnsi="宋体" w:eastAsia="宋体" w:cs="Times New Roman"/>
          <w:sz w:val="21"/>
        </w:rPr>
        <w:t>表</w:t>
      </w:r>
      <w:r>
        <w:rPr>
          <w:rFonts w:hint="eastAsia" w:ascii="宋体" w:hAnsi="宋体" w:eastAsia="宋体" w:cs="Times New Roman"/>
          <w:sz w:val="21"/>
          <w:lang w:val="en-US" w:eastAsia="zh-CN"/>
        </w:rPr>
        <w:t>4-4</w:t>
      </w:r>
      <w:r>
        <w:rPr>
          <w:rFonts w:hint="eastAsia" w:ascii="宋体" w:hAnsi="宋体" w:eastAsia="宋体" w:cs="Times New Roman"/>
          <w:sz w:val="21"/>
        </w:rPr>
        <w:t xml:space="preserve">  近</w:t>
      </w:r>
      <w:r>
        <w:rPr>
          <w:rFonts w:hint="eastAsia" w:ascii="宋体" w:hAnsi="宋体" w:eastAsia="宋体" w:cs="Times New Roman"/>
          <w:sz w:val="21"/>
          <w:lang w:eastAsia="zh-CN"/>
        </w:rPr>
        <w:t>三</w:t>
      </w:r>
      <w:r>
        <w:rPr>
          <w:rFonts w:hint="eastAsia" w:ascii="宋体" w:hAnsi="宋体" w:eastAsia="宋体" w:cs="Times New Roman"/>
          <w:sz w:val="21"/>
        </w:rPr>
        <w:t>年来</w:t>
      </w:r>
      <w:r>
        <w:rPr>
          <w:rFonts w:hint="eastAsia" w:ascii="宋体" w:hAnsi="宋体" w:eastAsia="宋体" w:cs="Times New Roman"/>
          <w:sz w:val="21"/>
          <w:lang w:eastAsia="zh-CN"/>
        </w:rPr>
        <w:t>出版的专著和教材情况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367"/>
        <w:gridCol w:w="1678"/>
        <w:gridCol w:w="1679"/>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序号</w:t>
            </w:r>
          </w:p>
        </w:tc>
        <w:tc>
          <w:tcPr>
            <w:tcW w:w="2367"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著作名称</w:t>
            </w:r>
          </w:p>
        </w:tc>
        <w:tc>
          <w:tcPr>
            <w:tcW w:w="167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出版社</w:t>
            </w:r>
          </w:p>
        </w:tc>
        <w:tc>
          <w:tcPr>
            <w:tcW w:w="1679"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作者</w:t>
            </w:r>
          </w:p>
        </w:tc>
        <w:tc>
          <w:tcPr>
            <w:tcW w:w="1837"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hint="default" w:ascii="Times New Roman" w:hAnsi="Times New Roman" w:eastAsia="宋体" w:cs="Times New Roman"/>
                <w:color w:val="000000"/>
                <w:sz w:val="21"/>
                <w:lang w:val="en-US"/>
              </w:rPr>
            </w:pPr>
            <w:r>
              <w:rPr>
                <w:rFonts w:hint="eastAsia" w:ascii="Times New Roman" w:hAnsi="Times New Roman" w:eastAsia="宋体" w:cs="Times New Roman"/>
                <w:color w:val="000000"/>
                <w:sz w:val="21"/>
                <w:lang w:val="en-US"/>
              </w:rPr>
              <w:t>1</w:t>
            </w:r>
          </w:p>
        </w:tc>
        <w:tc>
          <w:tcPr>
            <w:tcW w:w="2367"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微观经济学基础</w:t>
            </w:r>
            <w:r>
              <w:rPr>
                <w:rFonts w:hint="eastAsia" w:ascii="Times New Roman" w:hAnsi="Times New Roman" w:eastAsia="宋体" w:cs="Times New Roman"/>
                <w:color w:val="000000"/>
                <w:sz w:val="21"/>
              </w:rPr>
              <w:tab/>
            </w:r>
            <w:r>
              <w:rPr>
                <w:rFonts w:hint="eastAsia" w:ascii="Times New Roman" w:hAnsi="Times New Roman" w:eastAsia="宋体" w:cs="Times New Roman"/>
                <w:color w:val="000000"/>
                <w:sz w:val="21"/>
              </w:rPr>
              <w:tab/>
            </w:r>
          </w:p>
        </w:tc>
        <w:tc>
          <w:tcPr>
            <w:tcW w:w="1678"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华中科技大学出版社</w:t>
            </w:r>
          </w:p>
        </w:tc>
        <w:tc>
          <w:tcPr>
            <w:tcW w:w="1679"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刘瑛</w:t>
            </w:r>
          </w:p>
        </w:tc>
        <w:tc>
          <w:tcPr>
            <w:tcW w:w="1837" w:type="dxa"/>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jc w:val="center"/>
              <w:rPr>
                <w:rFonts w:hint="eastAsia" w:ascii="Times New Roman" w:hAnsi="Times New Roman" w:eastAsia="宋体" w:cs="Times New Roman"/>
                <w:color w:val="000000"/>
                <w:sz w:val="21"/>
              </w:rPr>
            </w:pPr>
          </w:p>
        </w:tc>
        <w:tc>
          <w:tcPr>
            <w:tcW w:w="2367" w:type="dxa"/>
          </w:tcPr>
          <w:p>
            <w:pPr>
              <w:jc w:val="center"/>
              <w:rPr>
                <w:rFonts w:hint="eastAsia" w:ascii="Times New Roman" w:hAnsi="Times New Roman" w:eastAsia="宋体" w:cs="Times New Roman"/>
                <w:color w:val="000000"/>
                <w:sz w:val="21"/>
              </w:rPr>
            </w:pPr>
          </w:p>
        </w:tc>
        <w:tc>
          <w:tcPr>
            <w:tcW w:w="1678" w:type="dxa"/>
          </w:tcPr>
          <w:p>
            <w:pPr>
              <w:jc w:val="center"/>
              <w:rPr>
                <w:rFonts w:hint="eastAsia" w:ascii="Times New Roman" w:hAnsi="Times New Roman" w:eastAsia="宋体" w:cs="Times New Roman"/>
                <w:color w:val="000000"/>
                <w:sz w:val="21"/>
              </w:rPr>
            </w:pPr>
          </w:p>
        </w:tc>
        <w:tc>
          <w:tcPr>
            <w:tcW w:w="1679" w:type="dxa"/>
          </w:tcPr>
          <w:p>
            <w:pPr>
              <w:jc w:val="center"/>
              <w:rPr>
                <w:rFonts w:hint="eastAsia" w:ascii="Times New Roman" w:hAnsi="Times New Roman" w:eastAsia="宋体" w:cs="Times New Roman"/>
                <w:color w:val="000000"/>
                <w:sz w:val="21"/>
              </w:rPr>
            </w:pPr>
          </w:p>
        </w:tc>
        <w:tc>
          <w:tcPr>
            <w:tcW w:w="1837" w:type="dxa"/>
          </w:tcPr>
          <w:p>
            <w:pPr>
              <w:jc w:val="center"/>
              <w:rPr>
                <w:rFonts w:hint="eastAsia" w:ascii="Times New Roman" w:hAnsi="Times New Roman" w:eastAsia="宋体" w:cs="Times New Roman"/>
                <w:color w:val="000000"/>
                <w:sz w:val="21"/>
              </w:rPr>
            </w:pPr>
          </w:p>
        </w:tc>
      </w:tr>
    </w:tbl>
    <w:p>
      <w:pPr>
        <w:spacing w:before="156" w:beforeLines="50" w:after="156" w:afterLines="50" w:line="300" w:lineRule="auto"/>
        <w:ind w:firstLine="539" w:firstLineChars="257"/>
        <w:jc w:val="center"/>
        <w:rPr>
          <w:rFonts w:hint="eastAsia" w:ascii="宋体" w:hAnsi="宋体" w:eastAsia="宋体" w:cs="Times New Roman"/>
          <w:sz w:val="21"/>
        </w:rPr>
      </w:pPr>
    </w:p>
    <w:p>
      <w:pPr>
        <w:spacing w:before="156" w:beforeLines="50" w:after="156" w:afterLines="50" w:line="300" w:lineRule="auto"/>
        <w:ind w:firstLine="539" w:firstLineChars="257"/>
        <w:jc w:val="center"/>
        <w:rPr>
          <w:rFonts w:hint="eastAsia" w:ascii="宋体" w:hAnsi="宋体" w:eastAsia="宋体" w:cs="Times New Roman"/>
          <w:sz w:val="21"/>
          <w:lang w:eastAsia="zh-CN"/>
        </w:rPr>
      </w:pPr>
      <w:r>
        <w:rPr>
          <w:rFonts w:hint="eastAsia" w:ascii="宋体" w:hAnsi="宋体" w:eastAsia="宋体" w:cs="Times New Roman"/>
          <w:sz w:val="21"/>
        </w:rPr>
        <w:t>表</w:t>
      </w:r>
      <w:r>
        <w:rPr>
          <w:rFonts w:hint="eastAsia" w:ascii="宋体" w:hAnsi="宋体" w:eastAsia="宋体" w:cs="Times New Roman"/>
          <w:sz w:val="21"/>
          <w:lang w:val="en-US" w:eastAsia="zh-CN"/>
        </w:rPr>
        <w:t>4-</w:t>
      </w:r>
      <w:r>
        <w:rPr>
          <w:rFonts w:hint="eastAsia" w:ascii="宋体" w:hAnsi="宋体" w:eastAsia="宋体" w:cs="Times New Roman"/>
          <w:sz w:val="21"/>
        </w:rPr>
        <w:t>5  近</w:t>
      </w:r>
      <w:r>
        <w:rPr>
          <w:rFonts w:hint="eastAsia" w:ascii="宋体" w:hAnsi="宋体" w:eastAsia="宋体" w:cs="Times New Roman"/>
          <w:sz w:val="21"/>
          <w:lang w:eastAsia="zh-CN"/>
        </w:rPr>
        <w:t>三</w:t>
      </w:r>
      <w:r>
        <w:rPr>
          <w:rFonts w:hint="eastAsia" w:ascii="宋体" w:hAnsi="宋体" w:eastAsia="宋体" w:cs="Times New Roman"/>
          <w:sz w:val="21"/>
        </w:rPr>
        <w:t>年来</w:t>
      </w:r>
      <w:r>
        <w:rPr>
          <w:rFonts w:hint="eastAsia" w:ascii="宋体" w:hAnsi="宋体" w:eastAsia="宋体" w:cs="Times New Roman"/>
          <w:sz w:val="21"/>
          <w:lang w:eastAsia="zh-CN"/>
        </w:rPr>
        <w:t>发表论文情况</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7"/>
        <w:gridCol w:w="3484"/>
        <w:gridCol w:w="1080"/>
        <w:gridCol w:w="1440"/>
        <w:gridCol w:w="1320"/>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论文名称</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作者</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发表日期</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发表刊物</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刊物级别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不同权力结构下供应链概率销售策略比较研究</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舒斯亮</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2021-02-05</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中国管理科学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CSSCI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需求扰动下物流服务商参与的不同权力结构产品供应链应急决策</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舒斯亮</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2021-10-20</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系统工程</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核心期刊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Strategic analysis on innovation of enterprise statistical management under the new economic environment</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王凌洪</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2021-01-01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 CS:EES</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EI会议论文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Research on Financial Management Countermeasures of enterprises in e-commerce environment</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王凌洪</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2021-01-01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 CS:EES</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EI会议论文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Research on regional economic growth differences in China under the internet environment</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王凌洪</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2021-01-01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IOP Conference Series: Earth and Environmental Science</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EI会议论文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The influence of e-commerce and modern logistics on regional economic structure and scope</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王凌洪</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2021-01-01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IOP Conference Series: Earth and Environmental Science</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EI会议论文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Relationship between regional logistics capacity and economic co-ordination development based on coupling model</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陈明军</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2021-01-01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ACM International Conference Proceeding Series</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EI会议论文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共享经济下产业价值网络创新的系统动力学分析</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袁青燕</w:t>
            </w:r>
          </w:p>
        </w:tc>
        <w:tc>
          <w:tcPr>
            <w:tcW w:w="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2021-01-10</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现代管理科学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宋体" w:cs="Times New Roman"/>
                <w:color w:val="000000"/>
                <w:sz w:val="21"/>
                <w:lang w:val="en-US" w:eastAsia="zh-CN"/>
              </w:rPr>
            </w:pPr>
            <w:r>
              <w:rPr>
                <w:rFonts w:hint="eastAsia" w:ascii="Times New Roman" w:hAnsi="Times New Roman" w:eastAsia="宋体" w:cs="Times New Roman"/>
                <w:color w:val="000000"/>
                <w:sz w:val="21"/>
                <w:lang w:val="en-US" w:eastAsia="zh-CN"/>
              </w:rPr>
              <w:t>一般期刊</w:t>
            </w:r>
          </w:p>
        </w:tc>
      </w:tr>
    </w:tbl>
    <w:p>
      <w:pPr>
        <w:spacing w:line="360" w:lineRule="auto"/>
        <w:ind w:firstLine="560"/>
        <w:outlineLvl w:val="9"/>
        <w:rPr>
          <w:rStyle w:val="26"/>
          <w:rFonts w:ascii="仿宋_GB2312" w:hAnsi="仿宋_GB2312" w:eastAsia="仿宋_GB2312" w:cs="仿宋_GB2312"/>
          <w:bCs/>
          <w:color w:val="auto"/>
          <w:sz w:val="28"/>
          <w:szCs w:val="28"/>
        </w:rPr>
      </w:pPr>
      <w:r>
        <w:rPr>
          <w:rStyle w:val="26"/>
          <w:rFonts w:hint="eastAsia" w:ascii="仿宋_GB2312" w:hAnsi="仿宋_GB2312" w:eastAsia="仿宋_GB2312" w:cs="仿宋_GB2312"/>
          <w:bCs/>
          <w:color w:val="auto"/>
          <w:sz w:val="28"/>
          <w:szCs w:val="28"/>
        </w:rPr>
        <w:t xml:space="preserve">              </w:t>
      </w:r>
      <w:bookmarkStart w:id="19" w:name="_Toc527800265"/>
      <w:bookmarkStart w:id="20" w:name="_Toc527799238"/>
    </w:p>
    <w:p>
      <w:pPr>
        <w:spacing w:line="288" w:lineRule="auto"/>
        <w:ind w:firstLine="480" w:firstLineChars="200"/>
        <w:rPr>
          <w:rFonts w:hint="eastAsia" w:ascii="宋体" w:hAnsi="宋体" w:eastAsia="宋体" w:cs="Times New Roman"/>
          <w:sz w:val="24"/>
          <w:lang w:val="en-US"/>
        </w:rPr>
      </w:pPr>
      <w:r>
        <w:rPr>
          <w:rFonts w:hint="eastAsia" w:ascii="宋体" w:hAnsi="宋体" w:eastAsia="宋体" w:cs="Times New Roman"/>
          <w:sz w:val="24"/>
        </w:rPr>
        <w:t>此外，</w:t>
      </w:r>
      <w:bookmarkEnd w:id="19"/>
      <w:bookmarkEnd w:id="20"/>
      <w:r>
        <w:rPr>
          <w:rFonts w:hint="eastAsia" w:ascii="宋体" w:hAnsi="宋体" w:eastAsia="宋体" w:cs="Times New Roman"/>
          <w:sz w:val="24"/>
        </w:rPr>
        <w:t>我校建设有功能强大的校园网，图书馆藏书丰富，还购买了丰富的国内外数据库，如中国知网CNK、维普和万方等中文数据库，还购置了</w:t>
      </w:r>
      <w:r>
        <w:rPr>
          <w:rFonts w:hint="eastAsia" w:ascii="宋体" w:hAnsi="宋体" w:eastAsia="宋体" w:cs="Times New Roman"/>
          <w:sz w:val="24"/>
          <w:lang w:val="en-US"/>
        </w:rPr>
        <w:t>springer等外文数据库，能够满足研究生日常科研需求。</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国际商务专硕积极拓展校外实习基地，已经跟江西亮朵电子商务有限公司、江西美翻科技有限公司和江西旅游商贸职业学院等签订了实习基地协议，能够满足学生的实习实训要求。</w:t>
      </w:r>
    </w:p>
    <w:p>
      <w:pPr>
        <w:spacing w:before="480" w:after="120"/>
        <w:outlineLvl w:val="1"/>
        <w:rPr>
          <w:rFonts w:hint="eastAsia" w:ascii="黑体" w:hAnsi="Times New Roman" w:eastAsia="黑体" w:cs="Times New Roman"/>
          <w:b/>
          <w:bCs/>
          <w:sz w:val="28"/>
          <w:szCs w:val="28"/>
        </w:rPr>
      </w:pPr>
      <w:bookmarkStart w:id="21" w:name="_Toc22897"/>
      <w:r>
        <w:rPr>
          <w:rFonts w:hint="eastAsia" w:ascii="黑体" w:hAnsi="Times New Roman" w:eastAsia="黑体" w:cs="Times New Roman"/>
          <w:b/>
          <w:bCs/>
          <w:sz w:val="28"/>
          <w:szCs w:val="28"/>
          <w:lang w:val="en-US"/>
        </w:rPr>
        <w:t>4.4</w:t>
      </w:r>
      <w:r>
        <w:rPr>
          <w:rFonts w:hint="eastAsia" w:ascii="黑体" w:hAnsi="Times New Roman" w:eastAsia="黑体" w:cs="Times New Roman"/>
          <w:b/>
          <w:bCs/>
          <w:sz w:val="28"/>
          <w:szCs w:val="28"/>
        </w:rPr>
        <w:t>传承创新优秀文化</w:t>
      </w:r>
      <w:bookmarkEnd w:id="21"/>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江西红色资源非常丰富，充分发挥红色资源优势，不断创新学习方式，引导研究生树立远大理想信念、厚植爱国主义情怀，传承红色基因、赓续红色血脉，把党史学习教育和学生社会实践活动结合起来，用红色文化育人，用红色资源铸魂。积极引导研究生深入各地开展调查研究，把论文写在祖国大地，助力江西经济社会发展。</w:t>
      </w: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widowControl/>
        <w:snapToGrid w:val="0"/>
        <w:spacing w:line="360" w:lineRule="auto"/>
        <w:ind w:firstLine="560" w:firstLineChars="200"/>
        <w:textAlignment w:val="baseline"/>
        <w:rPr>
          <w:rStyle w:val="26"/>
          <w:rFonts w:ascii="仿宋_GB2312" w:hAnsi="仿宋_GB2312" w:eastAsia="仿宋_GB2312" w:cs="仿宋_GB2312"/>
          <w:bCs/>
          <w:sz w:val="28"/>
          <w:szCs w:val="28"/>
        </w:rPr>
      </w:pPr>
    </w:p>
    <w:p>
      <w:pPr>
        <w:tabs>
          <w:tab w:val="center" w:pos="4139"/>
          <w:tab w:val="left" w:pos="7545"/>
          <w:tab w:val="right" w:leader="middleDot" w:pos="7740"/>
        </w:tabs>
        <w:spacing w:before="480" w:after="360"/>
        <w:jc w:val="both"/>
        <w:outlineLvl w:val="0"/>
        <w:rPr>
          <w:rFonts w:hint="eastAsia" w:ascii="黑体" w:hAnsi="Times New Roman" w:eastAsia="黑体" w:cs="Times New Roman"/>
          <w:b/>
          <w:bCs/>
          <w:sz w:val="32"/>
          <w:szCs w:val="32"/>
          <w:lang w:val="en-US"/>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22" w:name="_Toc3481"/>
    </w:p>
    <w:p>
      <w:pPr>
        <w:tabs>
          <w:tab w:val="center" w:pos="4139"/>
          <w:tab w:val="left" w:pos="7545"/>
          <w:tab w:val="right" w:leader="middleDot" w:pos="7740"/>
        </w:tabs>
        <w:spacing w:before="480" w:after="360"/>
        <w:jc w:val="both"/>
        <w:outlineLvl w:val="0"/>
        <w:rPr>
          <w:rFonts w:hint="eastAsia" w:ascii="黑体" w:hAnsi="Times New Roman" w:eastAsia="黑体" w:cs="Times New Roman"/>
          <w:b/>
          <w:bCs/>
          <w:sz w:val="32"/>
          <w:szCs w:val="32"/>
        </w:rPr>
      </w:pPr>
      <w:r>
        <w:rPr>
          <w:rFonts w:hint="eastAsia" w:ascii="黑体" w:hAnsi="Times New Roman" w:eastAsia="黑体" w:cs="Times New Roman"/>
          <w:b/>
          <w:bCs/>
          <w:sz w:val="32"/>
          <w:szCs w:val="32"/>
          <w:lang w:val="en-US"/>
        </w:rPr>
        <w:t>5</w:t>
      </w:r>
      <w:r>
        <w:rPr>
          <w:rFonts w:hint="eastAsia" w:ascii="黑体" w:hAnsi="Times New Roman" w:eastAsia="黑体" w:cs="Times New Roman"/>
          <w:b/>
          <w:bCs/>
          <w:sz w:val="32"/>
          <w:szCs w:val="32"/>
        </w:rPr>
        <w:t>教育质量评估与分析</w:t>
      </w:r>
      <w:bookmarkEnd w:id="22"/>
    </w:p>
    <w:p>
      <w:pPr>
        <w:keepNext w:val="0"/>
        <w:keepLines w:val="0"/>
        <w:pageBreakBefore w:val="0"/>
        <w:widowControl w:val="0"/>
        <w:kinsoku/>
        <w:wordWrap/>
        <w:overflowPunct/>
        <w:topLinePunct w:val="0"/>
        <w:autoSpaceDE/>
        <w:autoSpaceDN/>
        <w:bidi w:val="0"/>
        <w:adjustRightInd/>
        <w:snapToGrid/>
        <w:spacing w:before="240" w:after="120"/>
        <w:textAlignment w:val="auto"/>
        <w:outlineLvl w:val="2"/>
        <w:rPr>
          <w:rFonts w:hint="eastAsia" w:ascii="黑体" w:hAnsi="Times New Roman" w:eastAsia="黑体" w:cs="Times New Roman"/>
          <w:b/>
          <w:bCs/>
          <w:sz w:val="26"/>
          <w:szCs w:val="26"/>
          <w:lang w:eastAsia="zh-CN"/>
        </w:rPr>
      </w:pPr>
      <w:r>
        <w:rPr>
          <w:rFonts w:hint="eastAsia" w:ascii="黑体" w:hAnsi="Times New Roman" w:eastAsia="黑体" w:cs="Times New Roman"/>
          <w:b/>
          <w:bCs/>
          <w:sz w:val="28"/>
          <w:szCs w:val="28"/>
          <w:lang w:val="en-US" w:eastAsia="zh-CN"/>
        </w:rPr>
        <w:t>5.1</w:t>
      </w:r>
      <w:r>
        <w:rPr>
          <w:rFonts w:hint="eastAsia" w:ascii="黑体" w:hAnsi="Times New Roman" w:eastAsia="黑体" w:cs="Times New Roman"/>
          <w:b/>
          <w:bCs/>
          <w:sz w:val="28"/>
          <w:szCs w:val="28"/>
          <w:lang w:eastAsia="zh-CN"/>
        </w:rPr>
        <w:t>开题情况</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val="en-US"/>
        </w:rPr>
        <w:t>0级国际商务专硕共招生15人，全部参加了2021年5</w:t>
      </w:r>
      <w:r>
        <w:rPr>
          <w:rFonts w:hint="eastAsia" w:ascii="宋体" w:hAnsi="宋体" w:eastAsia="宋体" w:cs="Times New Roman"/>
          <w:sz w:val="24"/>
        </w:rPr>
        <w:t>月举行的开题汇报。学生汇报开题情况，专家对学生选题给予点评，帮助学生提高和完善选题质量。从结果看，</w:t>
      </w:r>
      <w:r>
        <w:rPr>
          <w:rFonts w:hint="eastAsia" w:ascii="宋体" w:hAnsi="宋体" w:eastAsia="宋体" w:cs="Times New Roman"/>
          <w:sz w:val="24"/>
          <w:lang w:val="en-US"/>
        </w:rPr>
        <w:t>15位学生均通过了开题，但是，也存在少数几个学生开题报告问题较多，需要加大修改力度。</w:t>
      </w:r>
    </w:p>
    <w:p>
      <w:pPr>
        <w:spacing w:before="480" w:after="120"/>
        <w:outlineLvl w:val="1"/>
        <w:rPr>
          <w:rFonts w:hint="eastAsia" w:ascii="黑体" w:hAnsi="Times New Roman" w:eastAsia="黑体" w:cs="Times New Roman"/>
          <w:b/>
          <w:bCs/>
          <w:sz w:val="28"/>
          <w:szCs w:val="28"/>
          <w:lang w:eastAsia="zh-CN"/>
        </w:rPr>
      </w:pPr>
      <w:bookmarkStart w:id="23" w:name="_Toc16535"/>
      <w:r>
        <w:rPr>
          <w:rFonts w:hint="eastAsia" w:ascii="黑体" w:hAnsi="Times New Roman" w:eastAsia="黑体" w:cs="Times New Roman"/>
          <w:b/>
          <w:bCs/>
          <w:sz w:val="28"/>
          <w:szCs w:val="28"/>
          <w:lang w:val="en-US" w:eastAsia="zh-CN"/>
        </w:rPr>
        <w:t>5.2</w:t>
      </w:r>
      <w:r>
        <w:rPr>
          <w:rFonts w:hint="eastAsia" w:ascii="黑体" w:hAnsi="Times New Roman" w:eastAsia="黑体" w:cs="Times New Roman"/>
          <w:b/>
          <w:bCs/>
          <w:sz w:val="28"/>
          <w:szCs w:val="28"/>
          <w:lang w:eastAsia="zh-CN"/>
        </w:rPr>
        <w:t>中期检查情况</w:t>
      </w:r>
      <w:bookmarkEnd w:id="23"/>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2021年11月，</w:t>
      </w:r>
      <w:r>
        <w:rPr>
          <w:rFonts w:hint="eastAsia" w:ascii="宋体" w:hAnsi="宋体" w:eastAsia="宋体" w:cs="Times New Roman"/>
          <w:sz w:val="24"/>
          <w:lang w:val="en-US"/>
        </w:rPr>
        <w:t>20</w:t>
      </w:r>
      <w:r>
        <w:rPr>
          <w:rFonts w:hint="eastAsia" w:ascii="宋体" w:hAnsi="宋体" w:eastAsia="宋体" w:cs="Times New Roman"/>
          <w:sz w:val="24"/>
        </w:rPr>
        <w:t>级国际商务专硕学生进行中期检查，</w:t>
      </w:r>
      <w:r>
        <w:rPr>
          <w:rFonts w:hint="eastAsia" w:ascii="宋体" w:hAnsi="宋体" w:eastAsia="宋体" w:cs="Times New Roman"/>
          <w:sz w:val="24"/>
          <w:lang w:val="en-US"/>
        </w:rPr>
        <w:t>15</w:t>
      </w:r>
      <w:r>
        <w:rPr>
          <w:rFonts w:hint="eastAsia" w:ascii="宋体" w:hAnsi="宋体" w:eastAsia="宋体" w:cs="Times New Roman"/>
          <w:sz w:val="24"/>
          <w:lang w:val="en-US" w:eastAsia="zh-CN"/>
        </w:rPr>
        <w:t>名</w:t>
      </w:r>
      <w:r>
        <w:rPr>
          <w:rFonts w:hint="eastAsia" w:ascii="宋体" w:hAnsi="宋体" w:eastAsia="宋体" w:cs="Times New Roman"/>
          <w:sz w:val="24"/>
          <w:lang w:val="en-US"/>
        </w:rPr>
        <w:t>学生均通过了中期检查，总体完成了中期检查要求的工作，也存在少数同学工作量不够饱满，论文论证部分存在问题，写作不够规范等情况。专家也指出了存在的问题，要求学生必须限期完成整改。</w:t>
      </w:r>
    </w:p>
    <w:p>
      <w:pPr>
        <w:spacing w:before="480" w:after="120"/>
        <w:outlineLvl w:val="1"/>
        <w:rPr>
          <w:rFonts w:hint="eastAsia" w:ascii="黑体" w:hAnsi="Times New Roman" w:eastAsia="黑体" w:cs="Times New Roman"/>
          <w:b/>
          <w:bCs/>
          <w:sz w:val="28"/>
          <w:szCs w:val="28"/>
          <w:lang w:val="en-US" w:eastAsia="zh-CN"/>
        </w:rPr>
      </w:pPr>
      <w:bookmarkStart w:id="24" w:name="_Toc17129"/>
      <w:r>
        <w:rPr>
          <w:rFonts w:hint="eastAsia" w:ascii="黑体" w:hAnsi="Times New Roman" w:eastAsia="黑体" w:cs="Times New Roman"/>
          <w:b/>
          <w:bCs/>
          <w:sz w:val="28"/>
          <w:szCs w:val="28"/>
          <w:lang w:val="en-US" w:eastAsia="zh-CN"/>
        </w:rPr>
        <w:t>5.3预答辩</w:t>
      </w:r>
      <w:bookmarkEnd w:id="24"/>
    </w:p>
    <w:p>
      <w:pPr>
        <w:spacing w:line="288" w:lineRule="auto"/>
        <w:ind w:firstLine="480" w:firstLineChars="200"/>
        <w:rPr>
          <w:rFonts w:hint="eastAsia" w:ascii="宋体" w:hAnsi="宋体" w:eastAsia="宋体" w:cs="Times New Roman"/>
          <w:sz w:val="24"/>
          <w:lang w:eastAsia="zh-CN"/>
        </w:rPr>
      </w:pPr>
      <w:r>
        <w:rPr>
          <w:rFonts w:hint="eastAsia" w:ascii="宋体" w:hAnsi="宋体" w:eastAsia="宋体" w:cs="Times New Roman"/>
          <w:sz w:val="24"/>
          <w:lang w:eastAsia="zh-CN"/>
        </w:rPr>
        <w:t>我校严格执行论文送出盲审制度，在论文送审前，学院会组织预答辩，对毕业论文进行最后的把关，确保送审论文的质量和水平。</w:t>
      </w:r>
    </w:p>
    <w:p>
      <w:pPr>
        <w:outlineLvl w:val="9"/>
        <w:rPr>
          <w:rStyle w:val="26"/>
          <w:rFonts w:hint="eastAsia" w:ascii="仿宋" w:hAnsi="仿宋" w:eastAsia="仿宋" w:cs="仿宋"/>
          <w:bCs/>
          <w:sz w:val="28"/>
          <w:szCs w:val="28"/>
        </w:rPr>
      </w:pPr>
    </w:p>
    <w:p>
      <w:pPr>
        <w:widowControl/>
        <w:snapToGrid w:val="0"/>
        <w:spacing w:line="360" w:lineRule="auto"/>
        <w:textAlignment w:val="baseline"/>
        <w:outlineLvl w:val="0"/>
        <w:rPr>
          <w:rFonts w:hint="eastAsia" w:ascii="黑体" w:hAnsi="Times New Roman" w:eastAsia="黑体" w:cs="Times New Roman"/>
          <w:b/>
          <w:bCs/>
          <w:sz w:val="32"/>
          <w:szCs w:val="32"/>
          <w:lang w:val="en-U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25" w:name="_Toc3328"/>
    </w:p>
    <w:p>
      <w:pPr>
        <w:widowControl/>
        <w:snapToGrid w:val="0"/>
        <w:spacing w:line="360" w:lineRule="auto"/>
        <w:textAlignment w:val="baseline"/>
        <w:outlineLvl w:val="0"/>
        <w:rPr>
          <w:rStyle w:val="26"/>
          <w:rFonts w:ascii="仿宋_GB2312" w:hAnsi="仿宋_GB2312" w:eastAsia="仿宋_GB2312" w:cs="仿宋_GB2312"/>
          <w:b/>
          <w:sz w:val="28"/>
          <w:szCs w:val="28"/>
        </w:rPr>
      </w:pPr>
      <w:r>
        <w:rPr>
          <w:rFonts w:hint="eastAsia" w:ascii="黑体" w:hAnsi="Times New Roman" w:eastAsia="黑体" w:cs="Times New Roman"/>
          <w:b/>
          <w:bCs/>
          <w:sz w:val="32"/>
          <w:szCs w:val="32"/>
          <w:lang w:val="en-US"/>
        </w:rPr>
        <w:t>6</w:t>
      </w:r>
      <w:r>
        <w:rPr>
          <w:rFonts w:hint="eastAsia" w:ascii="黑体" w:hAnsi="Times New Roman" w:eastAsia="黑体" w:cs="Times New Roman"/>
          <w:b/>
          <w:bCs/>
          <w:sz w:val="32"/>
          <w:szCs w:val="32"/>
        </w:rPr>
        <w:t>改进措施</w:t>
      </w:r>
      <w:bookmarkEnd w:id="25"/>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截至</w:t>
      </w:r>
      <w:r>
        <w:rPr>
          <w:rFonts w:hint="eastAsia" w:ascii="宋体" w:hAnsi="宋体" w:eastAsia="宋体" w:cs="Times New Roman"/>
          <w:sz w:val="24"/>
          <w:lang w:val="en-US"/>
        </w:rPr>
        <w:t>2021年，我国共有168所高校获批国际商务专业硕士点，其中，北京市共有21所高校拥有国际商务专硕点，获批国际商务专硕点前</w:t>
      </w:r>
      <w:r>
        <w:rPr>
          <w:rFonts w:hint="eastAsia" w:ascii="宋体" w:hAnsi="宋体" w:eastAsia="宋体" w:cs="Times New Roman"/>
          <w:sz w:val="24"/>
          <w:lang w:val="en-US" w:eastAsia="zh-CN"/>
        </w:rPr>
        <w:t>7</w:t>
      </w:r>
      <w:r>
        <w:rPr>
          <w:rFonts w:hint="eastAsia" w:ascii="宋体" w:hAnsi="宋体" w:eastAsia="宋体" w:cs="Times New Roman"/>
          <w:sz w:val="24"/>
          <w:lang w:val="en-US"/>
        </w:rPr>
        <w:t>的省份全部位于东部地区，分别是北京（21）、江苏（15）、上海（13）、浙江（12）、广东（10）、辽宁（10）和山东（9），占全部授权点的数量为53.57%。如图</w:t>
      </w:r>
      <w:r>
        <w:rPr>
          <w:rFonts w:hint="eastAsia" w:ascii="宋体" w:hAnsi="宋体" w:eastAsia="宋体" w:cs="Times New Roman"/>
          <w:sz w:val="24"/>
          <w:lang w:val="en-US" w:eastAsia="zh-CN"/>
        </w:rPr>
        <w:t>6-1</w:t>
      </w:r>
      <w:r>
        <w:rPr>
          <w:rFonts w:hint="eastAsia" w:ascii="宋体" w:hAnsi="宋体" w:eastAsia="宋体" w:cs="Times New Roman"/>
          <w:sz w:val="24"/>
          <w:lang w:val="en-US"/>
        </w:rPr>
        <w:t>和表</w:t>
      </w:r>
      <w:r>
        <w:rPr>
          <w:rFonts w:hint="eastAsia" w:ascii="宋体" w:hAnsi="宋体" w:eastAsia="宋体" w:cs="Times New Roman"/>
          <w:sz w:val="24"/>
          <w:lang w:val="en-US" w:eastAsia="zh-CN"/>
        </w:rPr>
        <w:t>6-1</w:t>
      </w:r>
      <w:r>
        <w:rPr>
          <w:rFonts w:hint="eastAsia" w:ascii="宋体" w:hAnsi="宋体" w:eastAsia="宋体" w:cs="Times New Roman"/>
          <w:sz w:val="24"/>
          <w:lang w:val="en-US"/>
        </w:rPr>
        <w:t>所示。</w:t>
      </w:r>
      <w:r>
        <w:rPr>
          <w:rFonts w:hint="eastAsia" w:ascii="宋体" w:hAnsi="宋体" w:eastAsia="宋体" w:cs="Times New Roman"/>
          <w:sz w:val="24"/>
          <w:lang w:val="en-US"/>
        </w:rPr>
        <w:tab/>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widowControl/>
              <w:spacing w:line="360" w:lineRule="auto"/>
              <w:textAlignment w:val="baseline"/>
              <w:rPr>
                <w:rStyle w:val="26"/>
                <w:rFonts w:hint="eastAsia" w:ascii="仿宋_GB2312" w:hAnsi="仿宋_GB2312" w:eastAsia="仿宋_GB2312" w:cs="仿宋_GB2312"/>
                <w:sz w:val="28"/>
                <w:szCs w:val="28"/>
                <w:vertAlign w:val="baseline"/>
              </w:rPr>
            </w:pPr>
            <w:r>
              <w:drawing>
                <wp:inline distT="0" distB="0" distL="114300" distR="114300">
                  <wp:extent cx="5269865" cy="2424430"/>
                  <wp:effectExtent l="4445" t="4445" r="21590" b="95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22" w:type="dxa"/>
            <w:tcBorders>
              <w:tl2br w:val="nil"/>
              <w:tr2bl w:val="nil"/>
            </w:tcBorders>
            <w:vAlign w:val="top"/>
          </w:tcPr>
          <w:p>
            <w:pPr>
              <w:widowControl/>
              <w:spacing w:line="360" w:lineRule="auto"/>
              <w:jc w:val="center"/>
              <w:textAlignment w:val="baseline"/>
              <w:rPr>
                <w:rStyle w:val="26"/>
                <w:rFonts w:hint="default" w:ascii="仿宋_GB2312" w:hAnsi="仿宋_GB2312" w:eastAsia="仿宋_GB2312" w:cs="仿宋_GB2312"/>
                <w:sz w:val="28"/>
                <w:szCs w:val="28"/>
                <w:vertAlign w:val="baseline"/>
                <w:lang w:val="en-US"/>
              </w:rPr>
            </w:pPr>
            <w:r>
              <w:rPr>
                <w:rStyle w:val="26"/>
                <w:rFonts w:hint="eastAsia" w:ascii="仿宋_GB2312" w:hAnsi="仿宋_GB2312" w:eastAsia="仿宋_GB2312" w:cs="仿宋_GB2312"/>
                <w:sz w:val="24"/>
                <w:szCs w:val="24"/>
                <w:vertAlign w:val="baseline"/>
              </w:rPr>
              <w:t>图</w:t>
            </w:r>
            <w:r>
              <w:rPr>
                <w:rStyle w:val="26"/>
                <w:rFonts w:hint="eastAsia" w:ascii="仿宋_GB2312" w:hAnsi="仿宋_GB2312" w:eastAsia="仿宋_GB2312" w:cs="仿宋_GB2312"/>
                <w:sz w:val="24"/>
                <w:szCs w:val="24"/>
                <w:vertAlign w:val="baseline"/>
                <w:lang w:val="en-US"/>
              </w:rPr>
              <w:t>6-1 全国国际商务专硕授权点情况</w:t>
            </w:r>
          </w:p>
        </w:tc>
      </w:tr>
    </w:tbl>
    <w:p>
      <w:pPr>
        <w:widowControl/>
        <w:spacing w:line="360" w:lineRule="auto"/>
        <w:ind w:firstLine="560" w:firstLineChars="200"/>
        <w:textAlignment w:val="baseline"/>
        <w:rPr>
          <w:rStyle w:val="26"/>
          <w:rFonts w:hint="eastAsia" w:ascii="仿宋_GB2312" w:hAnsi="仿宋_GB2312" w:eastAsia="仿宋_GB2312" w:cs="仿宋_GB2312"/>
          <w:sz w:val="28"/>
          <w:szCs w:val="28"/>
        </w:rPr>
      </w:pPr>
    </w:p>
    <w:p>
      <w:pPr>
        <w:keepNext w:val="0"/>
        <w:keepLines w:val="0"/>
        <w:widowControl/>
        <w:suppressLineNumbers w:val="0"/>
        <w:jc w:val="center"/>
        <w:rPr>
          <w:rFonts w:ascii="宋体" w:hAnsi="宋体" w:eastAsia="宋体" w:cs="宋体"/>
          <w:kern w:val="0"/>
          <w:sz w:val="24"/>
          <w:szCs w:val="24"/>
          <w:lang w:val="en-US" w:eastAsia="zh-CN" w:bidi="ar"/>
        </w:rPr>
      </w:pPr>
      <w:r>
        <w:rPr>
          <w:rFonts w:hint="eastAsia" w:ascii="宋体" w:hAnsi="宋体" w:eastAsia="宋体" w:cs="Times New Roman"/>
          <w:sz w:val="21"/>
          <w:lang w:val="en-US" w:eastAsia="zh-CN"/>
        </w:rPr>
        <w:t>表6-1 2021年具备招收国际商务硕士的院校名单</w:t>
      </w:r>
    </w:p>
    <w:tbl>
      <w:tblPr>
        <w:tblStyle w:val="13"/>
        <w:tblW w:w="863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9"/>
        <w:gridCol w:w="2265"/>
        <w:gridCol w:w="1275"/>
        <w:gridCol w:w="825"/>
        <w:gridCol w:w="255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699"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院校名称</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省份</w:t>
            </w:r>
          </w:p>
        </w:tc>
        <w:tc>
          <w:tcPr>
            <w:tcW w:w="82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序号</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院校名称</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安徽财经大学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安徽</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南京理工大学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安徽大学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安徽</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南京农业大学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安庆师范大学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安徽</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南京审计大学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北方民族大学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宁夏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南京信息工程大学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南京邮电大学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北京第二外国语学院</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南开大学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北京服装学院</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南宁师范大学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北京工商大学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南通大学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北京联合大学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南阳师范学院</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北京林业大学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内蒙古财经大学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内蒙古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北京农学院</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宁波大学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齐齐哈尔大学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黑龙江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北京外国语大学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青岛大学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北京物资学院</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青岛农业大学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北京邮电大学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99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厦门大学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北京语言大学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山东财经大学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渤海大学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山东大学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常州大学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山东科技大学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成都理工大学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四川</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山东理工大学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成都信息工程大学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四川</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山东师范大学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大连海事大学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山西财经大学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山西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大连民族大学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大连外国语大学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东北财经大学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上海第二工业大学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109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上海电机学院</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东北师范大学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上海对外经贸大学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东莞理工学院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上海海关学院</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东华大学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上海</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上海理工大学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29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东南大学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上海外国语大学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对外经济贸易大学</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上海政法学院</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佛山科学技术学院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深圳大学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福建师范大学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福建</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沈阳大学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辽宁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福州大学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福建</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沈阳工业大学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辽宁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复旦大学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上海</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石河子大学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广东财经大学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119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首都经济贸易大学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广东工业大学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首都师范大学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广东外语外贸大学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四川大学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四川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广西大学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四川外国语大学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39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广西民族大学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苏州大学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贵阳学院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贵州</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天津财经大学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贵州财经大学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贵州</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天津商业大学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商务部国际贸易经济合作研究院</w:t>
            </w:r>
          </w:p>
        </w:tc>
        <w:tc>
          <w:tcPr>
            <w:tcW w:w="127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天津外国语大学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哈尔滨商业大学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黑龙江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武汉大学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海南大学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海南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武汉科技大学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海南师范大学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海南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129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武汉理工大学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杭州电子科技大学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西安交通大学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杭州师范大学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西安外国语大学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河北大学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西北民族大学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49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河北经贸大学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西北政法大学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陕西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河海大学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西南财经大学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四川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河南财经政法大学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西南民族大学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四川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河南科技学院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西南政法大学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黑龙江大学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黑龙江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新疆财经大学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黑龙江东方学院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黑龙江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新疆农业大学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衡阳师范学院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139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新疆师范大学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新疆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湖北大学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延边大学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吉林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湖北工业大学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云南财经大学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湖南大学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云南大学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云南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59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湖南工商大学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长沙理工大学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湖州师范学院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华北水利水电大学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华东师范大学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上海</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浙江工商大学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华南理工大学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浙江工业大学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华南师范大学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浙江科技学院</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华中科技大学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149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浙江农林大学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淮北师范大学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安徽</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郑州轻工业大学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河南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淮海工学院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中北大学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山西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吉林财经大学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吉林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中国传媒大学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69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吉林大学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吉林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中国海洋大学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山东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吉林华桥外国语学院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吉林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中国计量大学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吉林化工学院</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吉林</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中国人民大学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集美大学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福建</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156</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中国政法大学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暨南大学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中南财经政法大学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湖北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中山大学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75</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159</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中央财经大学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76</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江西科技师范大学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160</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中央民族大学</w:t>
            </w:r>
          </w:p>
        </w:tc>
        <w:tc>
          <w:tcPr>
            <w:tcW w:w="102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eastAsia="zh-CN"/>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77</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江西师范大学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161</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重庆大学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78</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兰州财经大学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甘肃</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162</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重庆工商大学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79</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兰州理工大学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甘肃</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163</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重庆科技学院</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重庆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80</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辽宁大学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辽宁</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164</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北部湾大学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81</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鲁东大学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山东</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165</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上海商学院</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82</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南昌大学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江西</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167</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南京师范大学</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83</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南京财经大学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168</w:t>
            </w:r>
          </w:p>
        </w:tc>
        <w:tc>
          <w:tcPr>
            <w:tcW w:w="2550"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浙江越秀外国语学院</w:t>
            </w:r>
          </w:p>
        </w:tc>
        <w:tc>
          <w:tcPr>
            <w:tcW w:w="1020"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9" w:type="dxa"/>
            <w:shd w:val="clear" w:color="auto" w:fill="auto"/>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84</w:t>
            </w:r>
          </w:p>
        </w:tc>
        <w:tc>
          <w:tcPr>
            <w:tcW w:w="2265" w:type="dxa"/>
            <w:shd w:val="clear" w:color="auto" w:fill="auto"/>
            <w:noWrap/>
            <w:vAlign w:val="center"/>
          </w:tcPr>
          <w:p>
            <w:pPr>
              <w:jc w:val="center"/>
              <w:rPr>
                <w:rFonts w:hint="eastAsia" w:ascii="Times New Roman" w:hAnsi="Times New Roman" w:eastAsia="宋体" w:cs="Times New Roman"/>
                <w:color w:val="000000"/>
                <w:sz w:val="21"/>
              </w:rPr>
            </w:pPr>
            <w:r>
              <w:rPr>
                <w:rFonts w:hint="eastAsia" w:ascii="Times New Roman" w:hAnsi="Times New Roman" w:eastAsia="宋体" w:cs="Times New Roman"/>
                <w:color w:val="000000"/>
                <w:sz w:val="21"/>
                <w:lang w:val="en-US" w:eastAsia="zh-CN"/>
              </w:rPr>
              <w:t>南京大学</w:t>
            </w:r>
          </w:p>
        </w:tc>
        <w:tc>
          <w:tcPr>
            <w:tcW w:w="1275" w:type="dxa"/>
            <w:shd w:val="clear" w:color="auto" w:fill="auto"/>
            <w:noWrap/>
            <w:vAlign w:val="center"/>
          </w:tcPr>
          <w:p>
            <w:pPr>
              <w:jc w:val="center"/>
              <w:rPr>
                <w:rFonts w:hint="eastAsia" w:ascii="Times New Roman" w:hAnsi="Times New Roman" w:eastAsia="宋体" w:cs="Times New Roman"/>
                <w:color w:val="000000"/>
                <w:sz w:val="21"/>
                <w:lang w:eastAsia="zh-CN"/>
              </w:rPr>
            </w:pPr>
            <w:r>
              <w:rPr>
                <w:rFonts w:hint="eastAsia" w:ascii="Times New Roman" w:hAnsi="Times New Roman" w:eastAsia="宋体" w:cs="Times New Roman"/>
                <w:color w:val="000000"/>
                <w:sz w:val="21"/>
                <w:lang w:eastAsia="zh-CN"/>
              </w:rPr>
              <w:t>江苏</w:t>
            </w:r>
          </w:p>
        </w:tc>
        <w:tc>
          <w:tcPr>
            <w:tcW w:w="825" w:type="dxa"/>
            <w:shd w:val="clear" w:color="auto" w:fill="auto"/>
            <w:noWrap/>
            <w:vAlign w:val="center"/>
          </w:tcPr>
          <w:p>
            <w:pPr>
              <w:jc w:val="center"/>
              <w:rPr>
                <w:rFonts w:hint="eastAsia" w:ascii="Times New Roman" w:hAnsi="Times New Roman" w:eastAsia="宋体" w:cs="Times New Roman"/>
                <w:color w:val="000000"/>
                <w:sz w:val="21"/>
              </w:rPr>
            </w:pPr>
          </w:p>
        </w:tc>
        <w:tc>
          <w:tcPr>
            <w:tcW w:w="2550" w:type="dxa"/>
            <w:shd w:val="clear" w:color="auto" w:fill="auto"/>
            <w:noWrap/>
            <w:vAlign w:val="center"/>
          </w:tcPr>
          <w:p>
            <w:pPr>
              <w:jc w:val="center"/>
              <w:rPr>
                <w:rFonts w:hint="eastAsia" w:ascii="Times New Roman" w:hAnsi="Times New Roman" w:eastAsia="宋体" w:cs="Times New Roman"/>
                <w:color w:val="000000"/>
                <w:sz w:val="21"/>
              </w:rPr>
            </w:pPr>
          </w:p>
        </w:tc>
        <w:tc>
          <w:tcPr>
            <w:tcW w:w="1020" w:type="dxa"/>
            <w:shd w:val="clear" w:color="auto" w:fill="auto"/>
            <w:noWrap/>
            <w:vAlign w:val="center"/>
          </w:tcPr>
          <w:p>
            <w:pPr>
              <w:jc w:val="center"/>
              <w:rPr>
                <w:rFonts w:hint="eastAsia" w:ascii="Times New Roman" w:hAnsi="Times New Roman" w:eastAsia="宋体" w:cs="Times New Roman"/>
                <w:color w:val="000000"/>
                <w:sz w:val="21"/>
              </w:rPr>
            </w:pPr>
          </w:p>
        </w:tc>
      </w:tr>
    </w:tbl>
    <w:p>
      <w:pPr>
        <w:keepNext w:val="0"/>
        <w:keepLines w:val="0"/>
        <w:widowControl/>
        <w:suppressLineNumbers w:val="0"/>
        <w:jc w:val="center"/>
        <w:rPr>
          <w:rFonts w:ascii="宋体" w:hAnsi="宋体" w:eastAsia="宋体" w:cs="宋体"/>
          <w:kern w:val="0"/>
          <w:sz w:val="24"/>
          <w:szCs w:val="24"/>
          <w:lang w:val="en-US" w:eastAsia="zh-CN" w:bidi="ar"/>
        </w:rPr>
      </w:pPr>
    </w:p>
    <w:p>
      <w:pPr>
        <w:widowControl/>
        <w:spacing w:line="360" w:lineRule="auto"/>
        <w:textAlignment w:val="baseline"/>
        <w:outlineLvl w:val="1"/>
        <w:rPr>
          <w:rStyle w:val="26"/>
          <w:rFonts w:hint="eastAsia" w:ascii="仿宋_GB2312" w:hAnsi="仿宋_GB2312" w:eastAsia="仿宋_GB2312" w:cs="仿宋_GB2312"/>
          <w:b/>
          <w:bCs/>
          <w:sz w:val="28"/>
          <w:szCs w:val="28"/>
        </w:rPr>
      </w:pPr>
      <w:bookmarkStart w:id="26" w:name="_Toc4808"/>
      <w:r>
        <w:rPr>
          <w:rFonts w:hint="eastAsia" w:ascii="黑体" w:hAnsi="Times New Roman" w:eastAsia="黑体" w:cs="Times New Roman"/>
          <w:b/>
          <w:bCs/>
          <w:sz w:val="28"/>
          <w:szCs w:val="28"/>
          <w:lang w:val="en-US"/>
        </w:rPr>
        <w:t>6.1</w:t>
      </w:r>
      <w:r>
        <w:rPr>
          <w:rFonts w:hint="eastAsia" w:ascii="黑体" w:hAnsi="Times New Roman" w:eastAsia="黑体" w:cs="Times New Roman"/>
          <w:b/>
          <w:bCs/>
          <w:sz w:val="28"/>
          <w:szCs w:val="28"/>
        </w:rPr>
        <w:t>存在的问题</w:t>
      </w:r>
      <w:bookmarkEnd w:id="26"/>
    </w:p>
    <w:p>
      <w:pPr>
        <w:widowControl/>
        <w:spacing w:line="360" w:lineRule="auto"/>
        <w:textAlignment w:val="baseline"/>
        <w:rPr>
          <w:rStyle w:val="26"/>
          <w:rFonts w:hint="default" w:ascii="仿宋_GB2312" w:hAnsi="仿宋_GB2312" w:eastAsia="仿宋_GB2312" w:cs="仿宋_GB2312"/>
          <w:sz w:val="28"/>
          <w:szCs w:val="28"/>
          <w:lang w:val="en-US"/>
        </w:rPr>
      </w:pPr>
      <w:r>
        <w:rPr>
          <w:rFonts w:hint="eastAsia" w:ascii="黑体" w:hAnsi="Times New Roman" w:eastAsia="黑体" w:cs="Times New Roman"/>
          <w:b/>
          <w:bCs/>
          <w:sz w:val="26"/>
          <w:szCs w:val="26"/>
          <w:lang w:val="en-US"/>
        </w:rPr>
        <w:t>6.1.1招生宣传力度有待加强</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我国国际商务专硕招生规模不断扩大，东部发达地区占据优势地位，如图</w:t>
      </w:r>
      <w:r>
        <w:rPr>
          <w:rFonts w:hint="eastAsia" w:ascii="宋体" w:hAnsi="宋体" w:eastAsia="宋体" w:cs="Times New Roman"/>
          <w:sz w:val="24"/>
          <w:lang w:val="en-US" w:eastAsia="zh-CN"/>
        </w:rPr>
        <w:t>6-1</w:t>
      </w:r>
      <w:r>
        <w:rPr>
          <w:rFonts w:hint="eastAsia" w:ascii="宋体" w:hAnsi="宋体" w:eastAsia="宋体" w:cs="Times New Roman"/>
          <w:sz w:val="24"/>
        </w:rPr>
        <w:t>所示</w:t>
      </w:r>
      <w:r>
        <w:rPr>
          <w:rFonts w:hint="eastAsia" w:ascii="宋体" w:hAnsi="宋体" w:eastAsia="宋体" w:cs="Times New Roman"/>
          <w:sz w:val="24"/>
          <w:lang w:val="en-US" w:eastAsia="zh-CN"/>
        </w:rPr>
        <w:t>。</w:t>
      </w:r>
      <w:r>
        <w:rPr>
          <w:rFonts w:hint="eastAsia" w:ascii="宋体" w:hAnsi="宋体" w:eastAsia="宋体" w:cs="Times New Roman"/>
          <w:sz w:val="24"/>
        </w:rPr>
        <w:t>我校国际商务专硕招生时间不长，在师范院校办国际商务专硕也面临较大挑战，高校之间的招生竞争也给我校国际商务专硕招生带来较大压力。我们必须改变“等靠要”思想，积极走出</w:t>
      </w:r>
      <w:r>
        <w:rPr>
          <w:rFonts w:hint="eastAsia" w:ascii="宋体" w:hAnsi="宋体" w:eastAsia="宋体" w:cs="Times New Roman"/>
          <w:sz w:val="24"/>
          <w:lang w:eastAsia="zh-CN"/>
        </w:rPr>
        <w:t>去</w:t>
      </w:r>
      <w:r>
        <w:rPr>
          <w:rFonts w:hint="eastAsia" w:ascii="宋体" w:hAnsi="宋体" w:eastAsia="宋体" w:cs="Times New Roman"/>
          <w:sz w:val="24"/>
        </w:rPr>
        <w:t>宣传招生，扩大国际商务专硕的影响力，吸引优质生源，才能不断提高国际商务专硕的办学水平和办学质量。</w:t>
      </w:r>
    </w:p>
    <w:p>
      <w:pPr>
        <w:widowControl/>
        <w:spacing w:line="360" w:lineRule="auto"/>
        <w:textAlignment w:val="baseline"/>
        <w:rPr>
          <w:rStyle w:val="26"/>
          <w:rFonts w:hint="default" w:ascii="仿宋_GB2312" w:hAnsi="仿宋_GB2312" w:eastAsia="仿宋_GB2312" w:cs="仿宋_GB2312"/>
          <w:sz w:val="28"/>
          <w:szCs w:val="28"/>
          <w:lang w:val="en-US"/>
        </w:rPr>
      </w:pPr>
      <w:r>
        <w:rPr>
          <w:rFonts w:hint="eastAsia" w:ascii="黑体" w:hAnsi="Times New Roman" w:eastAsia="黑体" w:cs="Times New Roman"/>
          <w:b/>
          <w:bCs/>
          <w:sz w:val="26"/>
          <w:szCs w:val="26"/>
          <w:lang w:val="en-US"/>
        </w:rPr>
        <w:t>6.1.2继续提高研究生生源质量和培养质量</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积极动员我院国际经济与贸易专业的学生报考国际商务专硕，创造条件走出去宣讲，提高国际商务专硕的知名度和影响力，吸引更多优秀本科生报考国际商务专硕。同时，坚持高质量培养国际商务研究生，从选题开题、中期检查和预答辩等环节着手，严格培养过程，提高学生培养质量。</w:t>
      </w:r>
    </w:p>
    <w:p>
      <w:pPr>
        <w:widowControl/>
        <w:spacing w:line="360" w:lineRule="auto"/>
        <w:textAlignment w:val="baseline"/>
        <w:rPr>
          <w:rStyle w:val="26"/>
          <w:rFonts w:hint="default" w:ascii="仿宋_GB2312" w:hAnsi="仿宋_GB2312" w:eastAsia="仿宋_GB2312" w:cs="仿宋_GB2312"/>
          <w:sz w:val="28"/>
          <w:szCs w:val="28"/>
          <w:lang w:val="en-US"/>
        </w:rPr>
      </w:pPr>
      <w:r>
        <w:rPr>
          <w:rFonts w:hint="eastAsia" w:ascii="黑体" w:hAnsi="Times New Roman" w:eastAsia="黑体" w:cs="Times New Roman"/>
          <w:b/>
          <w:bCs/>
          <w:sz w:val="26"/>
          <w:szCs w:val="26"/>
          <w:lang w:val="en-US"/>
        </w:rPr>
        <w:t>6.1.3调整优化研究生培养年限</w:t>
      </w:r>
    </w:p>
    <w:p>
      <w:pPr>
        <w:spacing w:line="288" w:lineRule="auto"/>
        <w:ind w:firstLine="480" w:firstLineChars="200"/>
        <w:rPr>
          <w:rFonts w:hint="default" w:ascii="宋体" w:hAnsi="宋体" w:eastAsia="宋体" w:cs="Times New Roman"/>
          <w:sz w:val="24"/>
          <w:lang w:val="en-US"/>
        </w:rPr>
      </w:pPr>
      <w:r>
        <w:rPr>
          <w:rFonts w:hint="eastAsia" w:ascii="宋体" w:hAnsi="宋体" w:eastAsia="宋体" w:cs="Times New Roman"/>
          <w:sz w:val="24"/>
        </w:rPr>
        <w:t>目前，我校国际商务专硕培养年限为</w:t>
      </w:r>
      <w:r>
        <w:rPr>
          <w:rFonts w:hint="eastAsia" w:ascii="宋体" w:hAnsi="宋体" w:eastAsia="宋体" w:cs="Times New Roman"/>
          <w:sz w:val="24"/>
          <w:lang w:val="en-US"/>
        </w:rPr>
        <w:t>2年，学生从入校到毕业非常繁忙，培养过程非常紧凑。为了更好地提高培养质量，建议优化国际商务专硕的培养年限为3年，这能更好保障学生在校时长，更有利于学生的学术成长和实践锻炼。</w:t>
      </w:r>
    </w:p>
    <w:p>
      <w:pPr>
        <w:keepNext w:val="0"/>
        <w:keepLines w:val="0"/>
        <w:pageBreakBefore w:val="0"/>
        <w:widowControl w:val="0"/>
        <w:kinsoku/>
        <w:wordWrap/>
        <w:overflowPunct/>
        <w:topLinePunct w:val="0"/>
        <w:autoSpaceDE/>
        <w:autoSpaceDN/>
        <w:bidi w:val="0"/>
        <w:adjustRightInd/>
        <w:snapToGrid/>
        <w:spacing w:before="240" w:after="120"/>
        <w:textAlignment w:val="auto"/>
        <w:outlineLvl w:val="1"/>
        <w:rPr>
          <w:rFonts w:hint="eastAsia" w:ascii="黑体" w:hAnsi="Times New Roman" w:eastAsia="黑体" w:cs="Times New Roman"/>
          <w:b/>
          <w:bCs/>
          <w:sz w:val="26"/>
          <w:szCs w:val="26"/>
        </w:rPr>
      </w:pPr>
      <w:bookmarkStart w:id="27" w:name="_Toc4027"/>
      <w:r>
        <w:rPr>
          <w:rFonts w:hint="eastAsia" w:ascii="黑体" w:hAnsi="Times New Roman" w:eastAsia="黑体" w:cs="Times New Roman"/>
          <w:b/>
          <w:bCs/>
          <w:sz w:val="28"/>
          <w:szCs w:val="28"/>
          <w:lang w:val="en-US"/>
        </w:rPr>
        <w:t>6.2</w:t>
      </w:r>
      <w:r>
        <w:rPr>
          <w:rFonts w:hint="eastAsia" w:ascii="黑体" w:hAnsi="Times New Roman" w:eastAsia="黑体" w:cs="Times New Roman"/>
          <w:b/>
          <w:bCs/>
          <w:sz w:val="28"/>
          <w:szCs w:val="28"/>
        </w:rPr>
        <w:t>改进措施和建议</w:t>
      </w:r>
      <w:bookmarkEnd w:id="27"/>
    </w:p>
    <w:p>
      <w:pPr>
        <w:pStyle w:val="4"/>
        <w:spacing w:line="360" w:lineRule="auto"/>
        <w:ind w:left="0" w:leftChars="0" w:firstLine="0" w:firstLineChars="0"/>
        <w:rPr>
          <w:rFonts w:hint="eastAsia" w:ascii="黑体" w:hAnsi="Times New Roman" w:eastAsia="黑体" w:cs="Times New Roman"/>
          <w:b/>
          <w:bCs/>
          <w:color w:val="auto"/>
          <w:kern w:val="2"/>
          <w:sz w:val="26"/>
          <w:szCs w:val="26"/>
          <w:lang w:val="en-US" w:eastAsia="zh-CN" w:bidi="ar-SA"/>
        </w:rPr>
      </w:pPr>
      <w:r>
        <w:rPr>
          <w:rFonts w:hint="eastAsia" w:ascii="黑体" w:hAnsi="Times New Roman" w:eastAsia="黑体" w:cs="Times New Roman"/>
          <w:b/>
          <w:bCs/>
          <w:color w:val="auto"/>
          <w:kern w:val="2"/>
          <w:sz w:val="26"/>
          <w:szCs w:val="26"/>
          <w:lang w:val="en-US" w:eastAsia="zh-CN" w:bidi="ar-SA"/>
        </w:rPr>
        <w:t>6.2.1加大研究生招生宣传力度</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加大国际商务专硕的招生宣传力度，动员国际经济与贸易专业学生报考国际商务专硕。同时，积极走出去宣讲，提高我校国际商务专硕的知名度和影响力，鼓励省内其他本科院校本科生报考我校国际商务专硕。</w:t>
      </w:r>
      <w:r>
        <w:rPr>
          <w:rFonts w:hint="eastAsia" w:ascii="宋体" w:hAnsi="宋体" w:eastAsia="宋体" w:cs="Times New Roman"/>
          <w:sz w:val="24"/>
          <w:lang w:eastAsia="zh-CN"/>
        </w:rPr>
        <w:t>建议</w:t>
      </w:r>
      <w:r>
        <w:rPr>
          <w:rFonts w:hint="eastAsia" w:ascii="宋体" w:hAnsi="宋体" w:eastAsia="宋体" w:cs="Times New Roman"/>
          <w:sz w:val="24"/>
        </w:rPr>
        <w:t>配备研究生招生专职人员，提升研究生招生的工作效率。</w:t>
      </w:r>
    </w:p>
    <w:p>
      <w:pPr>
        <w:pStyle w:val="4"/>
        <w:numPr>
          <w:ilvl w:val="0"/>
          <w:numId w:val="0"/>
        </w:numPr>
        <w:spacing w:line="360" w:lineRule="auto"/>
        <w:rPr>
          <w:rFonts w:hint="eastAsia" w:ascii="黑体" w:hAnsi="Times New Roman" w:eastAsia="黑体" w:cs="Times New Roman"/>
          <w:b/>
          <w:bCs/>
          <w:color w:val="auto"/>
          <w:kern w:val="2"/>
          <w:sz w:val="26"/>
          <w:szCs w:val="26"/>
          <w:lang w:val="en-US" w:eastAsia="zh-CN" w:bidi="ar-SA"/>
        </w:rPr>
      </w:pPr>
      <w:r>
        <w:rPr>
          <w:rFonts w:hint="eastAsia" w:ascii="黑体" w:hAnsi="Times New Roman" w:eastAsia="黑体" w:cs="Times New Roman"/>
          <w:b/>
          <w:bCs/>
          <w:color w:val="auto"/>
          <w:kern w:val="2"/>
          <w:sz w:val="26"/>
          <w:szCs w:val="26"/>
          <w:lang w:val="en-US" w:eastAsia="zh-CN" w:bidi="ar-SA"/>
        </w:rPr>
        <w:t>6.2.2严格研究生课程教学过程</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国际商务专硕属于典型的交叉应用型硕士，除了基础理论知识的学习外，更应该加强实践环节。因此，国际商务专硕的课程开设应该考虑理论与应用相结合，避免纯理论知识的讲授。不断加强案例教学，特别是师生共同参与案例撰写，更能够调动学生的积极性。此外，加强对研究生授课过程的监管，积极发挥课程教学对国际商务专硕</w:t>
      </w:r>
      <w:r>
        <w:rPr>
          <w:rFonts w:hint="eastAsia" w:ascii="宋体" w:hAnsi="宋体" w:eastAsia="宋体" w:cs="Times New Roman"/>
          <w:sz w:val="24"/>
          <w:lang w:eastAsia="zh-CN"/>
        </w:rPr>
        <w:t>学生</w:t>
      </w:r>
      <w:r>
        <w:rPr>
          <w:rFonts w:hint="eastAsia" w:ascii="宋体" w:hAnsi="宋体" w:eastAsia="宋体" w:cs="Times New Roman"/>
          <w:sz w:val="24"/>
        </w:rPr>
        <w:t>培养的基础作用。</w:t>
      </w:r>
    </w:p>
    <w:p>
      <w:pPr>
        <w:pStyle w:val="4"/>
        <w:numPr>
          <w:ilvl w:val="0"/>
          <w:numId w:val="0"/>
        </w:numPr>
        <w:spacing w:line="360" w:lineRule="auto"/>
        <w:rPr>
          <w:rFonts w:hint="eastAsia" w:ascii="黑体" w:hAnsi="Times New Roman" w:eastAsia="黑体" w:cs="Times New Roman"/>
          <w:b/>
          <w:bCs/>
          <w:color w:val="auto"/>
          <w:kern w:val="2"/>
          <w:sz w:val="26"/>
          <w:szCs w:val="26"/>
          <w:lang w:val="en-US" w:eastAsia="zh-CN" w:bidi="ar-SA"/>
        </w:rPr>
      </w:pPr>
      <w:r>
        <w:rPr>
          <w:rFonts w:hint="eastAsia" w:ascii="黑体" w:hAnsi="Times New Roman" w:eastAsia="黑体" w:cs="Times New Roman"/>
          <w:b/>
          <w:bCs/>
          <w:color w:val="auto"/>
          <w:kern w:val="2"/>
          <w:sz w:val="26"/>
          <w:szCs w:val="26"/>
          <w:lang w:val="en-US" w:eastAsia="zh-CN" w:bidi="ar-SA"/>
        </w:rPr>
        <w:t>6.2.3保障研究生论文选题和写作质量</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注重国际商务专硕学生毕业论文的选题，严格把关开题环节，既要考虑选题的学术性和新颖性，又要兼顾实践性和应用性。充分发挥开题、中期检查和预答辩等环节对培养质量的把关作用，通过制度保障和导师把关相结合提高研究</w:t>
      </w:r>
      <w:r>
        <w:rPr>
          <w:rFonts w:hint="eastAsia" w:ascii="宋体" w:hAnsi="宋体" w:eastAsia="宋体" w:cs="Times New Roman"/>
          <w:sz w:val="24"/>
          <w:lang w:eastAsia="zh-CN"/>
        </w:rPr>
        <w:t>生</w:t>
      </w:r>
      <w:r>
        <w:rPr>
          <w:rFonts w:hint="eastAsia" w:ascii="宋体" w:hAnsi="宋体" w:eastAsia="宋体" w:cs="Times New Roman"/>
          <w:sz w:val="24"/>
        </w:rPr>
        <w:t>论文质量。</w:t>
      </w:r>
    </w:p>
    <w:p>
      <w:pPr>
        <w:pStyle w:val="4"/>
        <w:numPr>
          <w:ilvl w:val="0"/>
          <w:numId w:val="0"/>
        </w:numPr>
        <w:spacing w:line="360" w:lineRule="auto"/>
        <w:rPr>
          <w:rFonts w:hint="eastAsia" w:ascii="黑体" w:hAnsi="Times New Roman" w:eastAsia="黑体" w:cs="Times New Roman"/>
          <w:b/>
          <w:bCs/>
          <w:color w:val="auto"/>
          <w:kern w:val="2"/>
          <w:sz w:val="26"/>
          <w:szCs w:val="26"/>
          <w:lang w:val="en-US" w:eastAsia="zh-CN" w:bidi="ar-SA"/>
        </w:rPr>
      </w:pPr>
      <w:r>
        <w:rPr>
          <w:rFonts w:hint="eastAsia" w:ascii="黑体" w:hAnsi="Times New Roman" w:eastAsia="黑体" w:cs="Times New Roman"/>
          <w:b/>
          <w:bCs/>
          <w:color w:val="auto"/>
          <w:kern w:val="2"/>
          <w:sz w:val="26"/>
          <w:szCs w:val="26"/>
          <w:lang w:val="en-US" w:eastAsia="zh-CN" w:bidi="ar-SA"/>
        </w:rPr>
        <w:t>6.2.4加大研究生导师专业培训</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严格国际商务专硕导师遴选过程，选拔优秀青年博士进入导师队伍，优化导师年龄结构、学科结构和学缘结构。进一步加大人才引进力度，吸引优秀青年人才加入学院大家庭，提高学院的学术氛围和活力。</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学校和研究生院应该继续加大在职导师的业务培训和职业道德培训，学院加大营造良好的研究生交流氛围，通过学术讲座、专业实践和学科竞赛等，调动国际商务专硕学生的参与度，提高学生的沟通能力、表达能力和组织能力等。</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textAlignment w:val="baseline"/>
      <w:rPr>
        <w:rStyle w:val="26"/>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textAlignment w:val="baseline"/>
      <w:rPr>
        <w:rStyle w:val="26"/>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eastAsia="宋体"/>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7"/>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TJiZmVlMDUyM2ZiNzVhMjM0ZTRlZDQ0Y2U0YTMifQ=="/>
  </w:docVars>
  <w:rsids>
    <w:rsidRoot w:val="00D94DEB"/>
    <w:rsid w:val="0000504C"/>
    <w:rsid w:val="00045F43"/>
    <w:rsid w:val="00072396"/>
    <w:rsid w:val="00082791"/>
    <w:rsid w:val="001D0C24"/>
    <w:rsid w:val="00233F74"/>
    <w:rsid w:val="002A2A8F"/>
    <w:rsid w:val="00350B83"/>
    <w:rsid w:val="00357F88"/>
    <w:rsid w:val="003B7289"/>
    <w:rsid w:val="00451F04"/>
    <w:rsid w:val="00621274"/>
    <w:rsid w:val="00702CF9"/>
    <w:rsid w:val="007852C0"/>
    <w:rsid w:val="008F2397"/>
    <w:rsid w:val="00A056B2"/>
    <w:rsid w:val="00A349CF"/>
    <w:rsid w:val="00A54693"/>
    <w:rsid w:val="00AC4833"/>
    <w:rsid w:val="00CA6AB1"/>
    <w:rsid w:val="00D153EE"/>
    <w:rsid w:val="00D94DEB"/>
    <w:rsid w:val="00D97B08"/>
    <w:rsid w:val="00DA77BC"/>
    <w:rsid w:val="00DC4548"/>
    <w:rsid w:val="00E53D40"/>
    <w:rsid w:val="00EA60AB"/>
    <w:rsid w:val="00EB1974"/>
    <w:rsid w:val="00EF1BE0"/>
    <w:rsid w:val="00F6588A"/>
    <w:rsid w:val="00FA076B"/>
    <w:rsid w:val="00FB53DE"/>
    <w:rsid w:val="0365068B"/>
    <w:rsid w:val="05235D34"/>
    <w:rsid w:val="05AD43EF"/>
    <w:rsid w:val="06A20A39"/>
    <w:rsid w:val="08D12F00"/>
    <w:rsid w:val="09FC22AE"/>
    <w:rsid w:val="0A174A52"/>
    <w:rsid w:val="0B3049D6"/>
    <w:rsid w:val="0B672101"/>
    <w:rsid w:val="0B692FE1"/>
    <w:rsid w:val="0C480258"/>
    <w:rsid w:val="0C54060E"/>
    <w:rsid w:val="0CD00F0A"/>
    <w:rsid w:val="0CF52D93"/>
    <w:rsid w:val="0CF74092"/>
    <w:rsid w:val="0EBD0E70"/>
    <w:rsid w:val="0F712BB6"/>
    <w:rsid w:val="102354BF"/>
    <w:rsid w:val="107F2121"/>
    <w:rsid w:val="11E07AF3"/>
    <w:rsid w:val="121A010C"/>
    <w:rsid w:val="12331667"/>
    <w:rsid w:val="12AB744F"/>
    <w:rsid w:val="132C67E2"/>
    <w:rsid w:val="13DB2093"/>
    <w:rsid w:val="14294AD0"/>
    <w:rsid w:val="146F22C2"/>
    <w:rsid w:val="14EE629B"/>
    <w:rsid w:val="150077C8"/>
    <w:rsid w:val="16B627CD"/>
    <w:rsid w:val="16F83C72"/>
    <w:rsid w:val="176306F0"/>
    <w:rsid w:val="1B067919"/>
    <w:rsid w:val="1CC25C22"/>
    <w:rsid w:val="1E501745"/>
    <w:rsid w:val="204737CE"/>
    <w:rsid w:val="206B03CF"/>
    <w:rsid w:val="2157330E"/>
    <w:rsid w:val="225A4AE6"/>
    <w:rsid w:val="23614286"/>
    <w:rsid w:val="24DE2020"/>
    <w:rsid w:val="255E5768"/>
    <w:rsid w:val="267723EE"/>
    <w:rsid w:val="27A929FE"/>
    <w:rsid w:val="2814099B"/>
    <w:rsid w:val="291B5711"/>
    <w:rsid w:val="296E3259"/>
    <w:rsid w:val="2A711766"/>
    <w:rsid w:val="2A9C1428"/>
    <w:rsid w:val="2B5E283B"/>
    <w:rsid w:val="2C21126A"/>
    <w:rsid w:val="2C695F59"/>
    <w:rsid w:val="2C752F1C"/>
    <w:rsid w:val="2D795056"/>
    <w:rsid w:val="2DD45655"/>
    <w:rsid w:val="2F327502"/>
    <w:rsid w:val="33D83D93"/>
    <w:rsid w:val="35461435"/>
    <w:rsid w:val="38147E3B"/>
    <w:rsid w:val="389D0C80"/>
    <w:rsid w:val="3A7118F9"/>
    <w:rsid w:val="3AF917AF"/>
    <w:rsid w:val="3B0624EB"/>
    <w:rsid w:val="3B857ED9"/>
    <w:rsid w:val="3B9B0C14"/>
    <w:rsid w:val="3C3E4D0D"/>
    <w:rsid w:val="3D9B21BA"/>
    <w:rsid w:val="3E1C10F2"/>
    <w:rsid w:val="3E7E47B9"/>
    <w:rsid w:val="3ED23E32"/>
    <w:rsid w:val="3EE83FF7"/>
    <w:rsid w:val="3F40671A"/>
    <w:rsid w:val="3F514C7D"/>
    <w:rsid w:val="3FEE08F8"/>
    <w:rsid w:val="41571A34"/>
    <w:rsid w:val="42FA7C7E"/>
    <w:rsid w:val="431C1B20"/>
    <w:rsid w:val="43673D14"/>
    <w:rsid w:val="43E04937"/>
    <w:rsid w:val="44173ECB"/>
    <w:rsid w:val="44421984"/>
    <w:rsid w:val="44A44BC4"/>
    <w:rsid w:val="44A82229"/>
    <w:rsid w:val="44AD2E0D"/>
    <w:rsid w:val="459C0CF6"/>
    <w:rsid w:val="461E662D"/>
    <w:rsid w:val="46C035F8"/>
    <w:rsid w:val="46CB6A94"/>
    <w:rsid w:val="46CE59EE"/>
    <w:rsid w:val="48294CD4"/>
    <w:rsid w:val="4847319B"/>
    <w:rsid w:val="49C20652"/>
    <w:rsid w:val="4AE81C9B"/>
    <w:rsid w:val="4AEE11E0"/>
    <w:rsid w:val="4CBE2AF3"/>
    <w:rsid w:val="4D3F16FF"/>
    <w:rsid w:val="4D565C2E"/>
    <w:rsid w:val="4D7D7DB9"/>
    <w:rsid w:val="4D93478D"/>
    <w:rsid w:val="4DB27309"/>
    <w:rsid w:val="4DC332C4"/>
    <w:rsid w:val="4E810F0B"/>
    <w:rsid w:val="4F6A398A"/>
    <w:rsid w:val="51791EEB"/>
    <w:rsid w:val="51BE544C"/>
    <w:rsid w:val="526E1E56"/>
    <w:rsid w:val="5338480E"/>
    <w:rsid w:val="53C65569"/>
    <w:rsid w:val="562166FF"/>
    <w:rsid w:val="56E90240"/>
    <w:rsid w:val="5730129E"/>
    <w:rsid w:val="57361F10"/>
    <w:rsid w:val="57A23368"/>
    <w:rsid w:val="57EF7F46"/>
    <w:rsid w:val="58815E06"/>
    <w:rsid w:val="597B39ED"/>
    <w:rsid w:val="5A42686F"/>
    <w:rsid w:val="5B0719C4"/>
    <w:rsid w:val="5C8D47B8"/>
    <w:rsid w:val="5EC47139"/>
    <w:rsid w:val="5FCC24AC"/>
    <w:rsid w:val="619575C5"/>
    <w:rsid w:val="61D64B07"/>
    <w:rsid w:val="64370110"/>
    <w:rsid w:val="644F7208"/>
    <w:rsid w:val="659F2553"/>
    <w:rsid w:val="663A7A0A"/>
    <w:rsid w:val="66EF4E57"/>
    <w:rsid w:val="67914F12"/>
    <w:rsid w:val="67A4342A"/>
    <w:rsid w:val="67F408FA"/>
    <w:rsid w:val="6A215794"/>
    <w:rsid w:val="6A4A5890"/>
    <w:rsid w:val="6AAB5A90"/>
    <w:rsid w:val="6AFF2011"/>
    <w:rsid w:val="6C160F2C"/>
    <w:rsid w:val="6C553829"/>
    <w:rsid w:val="6D485437"/>
    <w:rsid w:val="6D632C42"/>
    <w:rsid w:val="6DE44E65"/>
    <w:rsid w:val="6E7C0991"/>
    <w:rsid w:val="6E995A95"/>
    <w:rsid w:val="6F4B09E7"/>
    <w:rsid w:val="72231CD3"/>
    <w:rsid w:val="7229607F"/>
    <w:rsid w:val="73D25D6E"/>
    <w:rsid w:val="740B40E6"/>
    <w:rsid w:val="74943A50"/>
    <w:rsid w:val="75187F78"/>
    <w:rsid w:val="7534466A"/>
    <w:rsid w:val="754E378A"/>
    <w:rsid w:val="75D7090C"/>
    <w:rsid w:val="76F8537C"/>
    <w:rsid w:val="77260526"/>
    <w:rsid w:val="775B2E33"/>
    <w:rsid w:val="775E7167"/>
    <w:rsid w:val="77B72634"/>
    <w:rsid w:val="77D47DFB"/>
    <w:rsid w:val="77F11328"/>
    <w:rsid w:val="77F40DE4"/>
    <w:rsid w:val="78117397"/>
    <w:rsid w:val="78884311"/>
    <w:rsid w:val="79355EC2"/>
    <w:rsid w:val="7A556F3E"/>
    <w:rsid w:val="7AF721A5"/>
    <w:rsid w:val="7BBC67DB"/>
    <w:rsid w:val="7C0B35E0"/>
    <w:rsid w:val="7DD37E5E"/>
    <w:rsid w:val="7E637C8C"/>
    <w:rsid w:val="7F08127F"/>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简体" w:cs="Times New Roman"/>
      <w:kern w:val="2"/>
      <w:sz w:val="32"/>
      <w:szCs w:val="24"/>
      <w:lang w:val="en-US" w:eastAsia="zh-CN" w:bidi="ar-SA"/>
    </w:rPr>
  </w:style>
  <w:style w:type="paragraph" w:styleId="2">
    <w:name w:val="heading 1"/>
    <w:basedOn w:val="1"/>
    <w:next w:val="1"/>
    <w:link w:val="20"/>
    <w:qFormat/>
    <w:uiPriority w:val="99"/>
    <w:pPr>
      <w:spacing w:beforeAutospacing="1" w:afterAutospacing="1"/>
      <w:jc w:val="left"/>
      <w:outlineLvl w:val="0"/>
    </w:pPr>
    <w:rPr>
      <w:rFonts w:ascii="宋体" w:hAnsi="宋体" w:eastAsia="宋体"/>
      <w:b/>
      <w:kern w:val="44"/>
      <w:sz w:val="48"/>
      <w:szCs w:val="48"/>
    </w:rPr>
  </w:style>
  <w:style w:type="paragraph" w:styleId="3">
    <w:name w:val="heading 2"/>
    <w:basedOn w:val="1"/>
    <w:next w:val="1"/>
    <w:semiHidden/>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1"/>
    <w:qFormat/>
    <w:uiPriority w:val="99"/>
    <w:pPr>
      <w:spacing w:line="600" w:lineRule="exact"/>
      <w:ind w:firstLine="640" w:firstLineChars="200"/>
      <w:outlineLvl w:val="2"/>
    </w:pPr>
    <w:rPr>
      <w:rFonts w:ascii="黑体" w:hAnsi="黑体" w:eastAsia="黑体"/>
      <w:color w:val="00000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rPr>
      <w:sz w:val="20"/>
      <w:szCs w:val="20"/>
    </w:rPr>
  </w:style>
  <w:style w:type="paragraph" w:styleId="6">
    <w:name w:val="Body Text"/>
    <w:basedOn w:val="1"/>
    <w:qFormat/>
    <w:uiPriority w:val="1"/>
    <w:pPr>
      <w:autoSpaceDE w:val="0"/>
      <w:autoSpaceDN w:val="0"/>
      <w:spacing w:before="161"/>
      <w:ind w:left="900" w:firstLine="480"/>
      <w:jc w:val="left"/>
    </w:pPr>
    <w:rPr>
      <w:rFonts w:ascii="宋体" w:hAnsi="宋体" w:eastAsia="宋体" w:cs="宋体"/>
      <w:kern w:val="0"/>
      <w:sz w:val="24"/>
      <w:lang w:val="zh-CN" w:bidi="zh-CN"/>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0"/>
  </w:style>
  <w:style w:type="paragraph" w:styleId="10">
    <w:name w:val="footnote text"/>
    <w:basedOn w:val="1"/>
    <w:unhideWhenUsed/>
    <w:qFormat/>
    <w:uiPriority w:val="99"/>
    <w:pPr>
      <w:snapToGrid w:val="0"/>
      <w:jc w:val="left"/>
    </w:pPr>
    <w:rPr>
      <w:sz w:val="18"/>
      <w:szCs w:val="18"/>
    </w:rPr>
  </w:style>
  <w:style w:type="paragraph" w:styleId="11">
    <w:name w:val="toc 2"/>
    <w:basedOn w:val="1"/>
    <w:next w:val="1"/>
    <w:qFormat/>
    <w:locked/>
    <w:uiPriority w:val="0"/>
    <w:pPr>
      <w:ind w:left="420" w:leftChars="200"/>
    </w:pPr>
  </w:style>
  <w:style w:type="paragraph" w:styleId="12">
    <w:name w:val="Normal (Web)"/>
    <w:basedOn w:val="1"/>
    <w:qFormat/>
    <w:uiPriority w:val="99"/>
    <w:pPr>
      <w:spacing w:beforeAutospacing="1" w:afterAutospacing="1"/>
      <w:jc w:val="left"/>
    </w:pPr>
    <w:rPr>
      <w:kern w:val="0"/>
      <w:sz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rFonts w:cs="Times New Roman"/>
      <w:b/>
    </w:rPr>
  </w:style>
  <w:style w:type="character" w:styleId="17">
    <w:name w:val="page number"/>
    <w:basedOn w:val="15"/>
    <w:qFormat/>
    <w:uiPriority w:val="99"/>
    <w:rPr>
      <w:rFonts w:cs="Times New Roman"/>
    </w:rPr>
  </w:style>
  <w:style w:type="character" w:styleId="18">
    <w:name w:val="FollowedHyperlink"/>
    <w:basedOn w:val="15"/>
    <w:qFormat/>
    <w:uiPriority w:val="99"/>
    <w:rPr>
      <w:rFonts w:cs="Times New Roman"/>
      <w:color w:val="800080"/>
      <w:u w:val="none"/>
    </w:rPr>
  </w:style>
  <w:style w:type="character" w:styleId="19">
    <w:name w:val="Hyperlink"/>
    <w:basedOn w:val="15"/>
    <w:qFormat/>
    <w:uiPriority w:val="99"/>
    <w:rPr>
      <w:rFonts w:cs="Times New Roman"/>
      <w:color w:val="0000FF"/>
      <w:u w:val="none"/>
    </w:rPr>
  </w:style>
  <w:style w:type="character" w:customStyle="1" w:styleId="20">
    <w:name w:val="标题 1 字符"/>
    <w:basedOn w:val="15"/>
    <w:link w:val="2"/>
    <w:qFormat/>
    <w:locked/>
    <w:uiPriority w:val="99"/>
    <w:rPr>
      <w:rFonts w:ascii="Calibri" w:hAnsi="Calibri" w:eastAsia="方正仿宋简体" w:cs="Times New Roman"/>
      <w:b/>
      <w:bCs/>
      <w:kern w:val="44"/>
      <w:sz w:val="44"/>
      <w:szCs w:val="44"/>
    </w:rPr>
  </w:style>
  <w:style w:type="character" w:customStyle="1" w:styleId="21">
    <w:name w:val="标题 3 字符"/>
    <w:basedOn w:val="15"/>
    <w:link w:val="4"/>
    <w:semiHidden/>
    <w:qFormat/>
    <w:locked/>
    <w:uiPriority w:val="99"/>
    <w:rPr>
      <w:rFonts w:ascii="Calibri" w:hAnsi="Calibri" w:eastAsia="方正仿宋简体" w:cs="Times New Roman"/>
      <w:b/>
      <w:bCs/>
      <w:sz w:val="32"/>
      <w:szCs w:val="32"/>
    </w:rPr>
  </w:style>
  <w:style w:type="character" w:customStyle="1" w:styleId="22">
    <w:name w:val="页脚 字符"/>
    <w:basedOn w:val="15"/>
    <w:link w:val="7"/>
    <w:semiHidden/>
    <w:qFormat/>
    <w:locked/>
    <w:uiPriority w:val="99"/>
    <w:rPr>
      <w:rFonts w:ascii="Calibri" w:hAnsi="Calibri" w:eastAsia="方正仿宋简体" w:cs="Times New Roman"/>
      <w:sz w:val="18"/>
      <w:szCs w:val="18"/>
    </w:rPr>
  </w:style>
  <w:style w:type="character" w:customStyle="1" w:styleId="23">
    <w:name w:val="页眉 字符"/>
    <w:basedOn w:val="15"/>
    <w:link w:val="8"/>
    <w:semiHidden/>
    <w:qFormat/>
    <w:locked/>
    <w:uiPriority w:val="99"/>
    <w:rPr>
      <w:rFonts w:ascii="Calibri" w:hAnsi="Calibri" w:eastAsia="方正仿宋简体" w:cs="Times New Roman"/>
      <w:sz w:val="18"/>
      <w:szCs w:val="18"/>
    </w:rPr>
  </w:style>
  <w:style w:type="character" w:customStyle="1" w:styleId="24">
    <w:name w:val="hover21"/>
    <w:basedOn w:val="15"/>
    <w:qFormat/>
    <w:uiPriority w:val="99"/>
    <w:rPr>
      <w:rFonts w:cs="Times New Roman"/>
      <w:color w:val="557EE7"/>
    </w:rPr>
  </w:style>
  <w:style w:type="paragraph" w:customStyle="1" w:styleId="25">
    <w:name w:val="彩色列表 - 强调文字颜色 11"/>
    <w:basedOn w:val="1"/>
    <w:qFormat/>
    <w:uiPriority w:val="99"/>
    <w:pPr>
      <w:ind w:firstLine="420" w:firstLineChars="200"/>
    </w:pPr>
    <w:rPr>
      <w:rFonts w:ascii="Cambria" w:hAnsi="Cambria"/>
      <w:szCs w:val="22"/>
    </w:rPr>
  </w:style>
  <w:style w:type="character" w:customStyle="1" w:styleId="26">
    <w:name w:val="NormalCharacter"/>
    <w:semiHidden/>
    <w:qFormat/>
    <w:uiPriority w:val="99"/>
    <w:rPr>
      <w:rFonts w:ascii="Calibri" w:hAnsi="Calibri" w:eastAsia="方正仿宋简体"/>
      <w:kern w:val="2"/>
      <w:sz w:val="24"/>
      <w:lang w:val="en-US" w:eastAsia="zh-CN"/>
    </w:rPr>
  </w:style>
  <w:style w:type="paragraph" w:customStyle="1" w:styleId="27">
    <w:name w:val="Heading3"/>
    <w:basedOn w:val="1"/>
    <w:next w:val="1"/>
    <w:qFormat/>
    <w:uiPriority w:val="99"/>
    <w:pPr>
      <w:spacing w:line="600" w:lineRule="exact"/>
      <w:ind w:firstLine="640" w:firstLineChars="200"/>
      <w:textAlignment w:val="baseline"/>
    </w:pPr>
    <w:rPr>
      <w:rFonts w:ascii="黑体" w:hAnsi="黑体" w:eastAsia="黑体"/>
      <w:color w:val="000000"/>
      <w:szCs w:val="32"/>
    </w:rPr>
  </w:style>
  <w:style w:type="character" w:customStyle="1" w:styleId="28">
    <w:name w:val="fontstyle01"/>
    <w:qFormat/>
    <w:uiPriority w:val="0"/>
    <w:rPr>
      <w:rFonts w:hint="eastAsia" w:ascii="宋体" w:hAnsi="宋体" w:eastAsia="宋体"/>
      <w:color w:val="000000"/>
      <w:sz w:val="22"/>
      <w:szCs w:val="22"/>
    </w:rPr>
  </w:style>
  <w:style w:type="paragraph" w:customStyle="1" w:styleId="29">
    <w:name w:val="列出段落2"/>
    <w:basedOn w:val="1"/>
    <w:qFormat/>
    <w:uiPriority w:val="34"/>
    <w:pPr>
      <w:ind w:firstLine="420" w:firstLineChars="200"/>
    </w:pPr>
  </w:style>
  <w:style w:type="paragraph" w:customStyle="1" w:styleId="30">
    <w:name w:val="列出段落1"/>
    <w:basedOn w:val="1"/>
    <w:qFormat/>
    <w:uiPriority w:val="34"/>
    <w:pPr>
      <w:ind w:firstLine="420" w:firstLineChars="200"/>
    </w:pPr>
  </w:style>
  <w:style w:type="paragraph" w:customStyle="1" w:styleId="31">
    <w:name w:val="Revision"/>
    <w:hidden/>
    <w:unhideWhenUsed/>
    <w:qFormat/>
    <w:uiPriority w:val="99"/>
    <w:rPr>
      <w:rFonts w:ascii="Calibri" w:hAnsi="Calibri" w:eastAsia="方正仿宋简体" w:cs="Times New Roman"/>
      <w:kern w:val="2"/>
      <w:sz w:val="32"/>
      <w:szCs w:val="24"/>
      <w:lang w:val="en-US" w:eastAsia="zh-CN" w:bidi="ar-SA"/>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character" w:customStyle="1" w:styleId="34">
    <w:name w:val="font11"/>
    <w:basedOn w:val="15"/>
    <w:qFormat/>
    <w:uiPriority w:val="0"/>
    <w:rPr>
      <w:rFonts w:hint="eastAsia" w:ascii="宋体" w:hAnsi="宋体" w:eastAsia="宋体" w:cs="宋体"/>
      <w:color w:val="000000"/>
      <w:sz w:val="20"/>
      <w:szCs w:val="20"/>
      <w:u w:val="none"/>
    </w:rPr>
  </w:style>
  <w:style w:type="character" w:customStyle="1" w:styleId="35">
    <w:name w:val="font21"/>
    <w:basedOn w:val="15"/>
    <w:qFormat/>
    <w:uiPriority w:val="0"/>
    <w:rPr>
      <w:rFonts w:hint="eastAsia" w:ascii="宋体" w:hAnsi="宋体" w:eastAsia="宋体" w:cs="宋体"/>
      <w:color w:val="000000"/>
      <w:sz w:val="24"/>
      <w:szCs w:val="24"/>
      <w:u w:val="none"/>
    </w:rPr>
  </w:style>
  <w:style w:type="character" w:customStyle="1" w:styleId="36">
    <w:name w:val="fontstyle11"/>
    <w:basedOn w:val="15"/>
    <w:qFormat/>
    <w:uiPriority w:val="0"/>
    <w:rPr>
      <w:rFonts w:hint="eastAsia" w:ascii="宋体" w:hAnsi="宋体" w:eastAsia="宋体"/>
      <w:color w:val="000000"/>
      <w:sz w:val="24"/>
      <w:szCs w:val="24"/>
    </w:rPr>
  </w:style>
  <w:style w:type="character" w:customStyle="1" w:styleId="37">
    <w:name w:val="font31"/>
    <w:basedOn w:val="15"/>
    <w:qFormat/>
    <w:uiPriority w:val="0"/>
    <w:rPr>
      <w:rFonts w:hint="eastAsia" w:ascii="仿宋" w:hAnsi="仿宋" w:eastAsia="仿宋" w:cs="仿宋"/>
      <w:color w:val="000000"/>
      <w:sz w:val="24"/>
      <w:szCs w:val="24"/>
      <w:u w:val="none"/>
    </w:rPr>
  </w:style>
  <w:style w:type="character" w:customStyle="1" w:styleId="38">
    <w:name w:val="font41"/>
    <w:basedOn w:val="15"/>
    <w:qFormat/>
    <w:uiPriority w:val="0"/>
    <w:rPr>
      <w:rFonts w:hint="default" w:ascii="仿宋_GB2312" w:eastAsia="仿宋_GB2312" w:cs="仿宋_GB2312"/>
      <w:color w:val="000000"/>
      <w:sz w:val="24"/>
      <w:szCs w:val="24"/>
      <w:u w:val="none"/>
    </w:rPr>
  </w:style>
  <w:style w:type="paragraph" w:customStyle="1" w:styleId="39">
    <w:name w:val="列表段落1"/>
    <w:basedOn w:val="1"/>
    <w:qFormat/>
    <w:uiPriority w:val="99"/>
    <w:pPr>
      <w:ind w:firstLine="420" w:firstLineChars="200"/>
    </w:pPr>
  </w:style>
  <w:style w:type="paragraph" w:customStyle="1" w:styleId="4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1" i="0" u="none" strike="noStrike" kern="1200" baseline="0">
                <a:solidFill>
                  <a:schemeClr val="dk1">
                    <a:lumMod val="75000"/>
                    <a:lumOff val="25000"/>
                  </a:schemeClr>
                </a:solidFill>
                <a:latin typeface="+mn-lt"/>
                <a:ea typeface="+mn-ea"/>
                <a:cs typeface="+mn-cs"/>
              </a:defRPr>
            </a:pPr>
            <a:r>
              <a:rPr sz="1200" b="0"/>
              <a:t>国际商务授权点情况</a:t>
            </a:r>
            <a:endParaRPr sz="1200" b="0"/>
          </a:p>
        </c:rich>
      </c:tx>
      <c:layout>
        <c:manualLayout>
          <c:xMode val="edge"/>
          <c:yMode val="edge"/>
          <c:x val="0.348302300109529"/>
          <c:y val="0.0464285714285714"/>
        </c:manualLayout>
      </c:layout>
      <c:overlay val="0"/>
      <c:spPr>
        <a:noFill/>
        <a:ln>
          <a:noFill/>
        </a:ln>
        <a:effectLst/>
      </c:spPr>
    </c:title>
    <c:autoTitleDeleted val="0"/>
    <c:plotArea>
      <c:layout/>
      <c:lineChart>
        <c:grouping val="standard"/>
        <c:varyColors val="0"/>
        <c:ser>
          <c:idx val="0"/>
          <c:order val="0"/>
          <c:tx>
            <c:strRef>
              <c:f>[工作簿1]Sheet2!$B$1</c:f>
              <c:strCache>
                <c:ptCount val="1"/>
                <c:pt idx="0">
                  <c:v>授权点</c:v>
                </c:pt>
              </c:strCache>
            </c:strRef>
          </c:tx>
          <c:spPr>
            <a:ln w="28575" cap="rnd">
              <a:solidFill>
                <a:schemeClr val="tx1"/>
              </a:solidFill>
              <a:round/>
            </a:ln>
            <a:effectLst/>
          </c:spPr>
          <c:marker>
            <c:symbol val="none"/>
          </c:marker>
          <c:dLbls>
            <c:delete val="1"/>
          </c:dLbls>
          <c:cat>
            <c:strRef>
              <c:f>[工作簿1]Sheet2!$A$2:$A$30</c:f>
              <c:strCache>
                <c:ptCount val="29"/>
                <c:pt idx="0">
                  <c:v>北京</c:v>
                </c:pt>
                <c:pt idx="1">
                  <c:v>江苏</c:v>
                </c:pt>
                <c:pt idx="2">
                  <c:v>上海</c:v>
                </c:pt>
                <c:pt idx="3">
                  <c:v>浙江</c:v>
                </c:pt>
                <c:pt idx="4">
                  <c:v>广东</c:v>
                </c:pt>
                <c:pt idx="5">
                  <c:v>辽宁</c:v>
                </c:pt>
                <c:pt idx="6">
                  <c:v>山东</c:v>
                </c:pt>
                <c:pt idx="7">
                  <c:v>湖北</c:v>
                </c:pt>
                <c:pt idx="8">
                  <c:v>河南</c:v>
                </c:pt>
                <c:pt idx="9">
                  <c:v>吉林</c:v>
                </c:pt>
                <c:pt idx="10">
                  <c:v>四川</c:v>
                </c:pt>
                <c:pt idx="11">
                  <c:v>重庆</c:v>
                </c:pt>
                <c:pt idx="12">
                  <c:v>安徽</c:v>
                </c:pt>
                <c:pt idx="13">
                  <c:v>福建</c:v>
                </c:pt>
                <c:pt idx="14">
                  <c:v>广西</c:v>
                </c:pt>
                <c:pt idx="15">
                  <c:v>黑龙江</c:v>
                </c:pt>
                <c:pt idx="16">
                  <c:v>湖南</c:v>
                </c:pt>
                <c:pt idx="17">
                  <c:v>江西</c:v>
                </c:pt>
                <c:pt idx="18">
                  <c:v>天津</c:v>
                </c:pt>
                <c:pt idx="19">
                  <c:v>新疆</c:v>
                </c:pt>
                <c:pt idx="20">
                  <c:v>陕西</c:v>
                </c:pt>
                <c:pt idx="21">
                  <c:v>甘肃</c:v>
                </c:pt>
                <c:pt idx="22">
                  <c:v>贵州</c:v>
                </c:pt>
                <c:pt idx="23">
                  <c:v>海南</c:v>
                </c:pt>
                <c:pt idx="24">
                  <c:v>河北</c:v>
                </c:pt>
                <c:pt idx="25">
                  <c:v>宁夏</c:v>
                </c:pt>
                <c:pt idx="26">
                  <c:v>山西</c:v>
                </c:pt>
                <c:pt idx="27">
                  <c:v>云南</c:v>
                </c:pt>
                <c:pt idx="28">
                  <c:v>内蒙古</c:v>
                </c:pt>
              </c:strCache>
            </c:strRef>
          </c:cat>
          <c:val>
            <c:numRef>
              <c:f>[工作簿1]Sheet2!$B$2:$B$30</c:f>
              <c:numCache>
                <c:formatCode>General</c:formatCode>
                <c:ptCount val="29"/>
                <c:pt idx="0">
                  <c:v>21</c:v>
                </c:pt>
                <c:pt idx="1">
                  <c:v>15</c:v>
                </c:pt>
                <c:pt idx="2">
                  <c:v>13</c:v>
                </c:pt>
                <c:pt idx="3">
                  <c:v>12</c:v>
                </c:pt>
                <c:pt idx="4">
                  <c:v>10</c:v>
                </c:pt>
                <c:pt idx="5">
                  <c:v>10</c:v>
                </c:pt>
                <c:pt idx="6">
                  <c:v>9</c:v>
                </c:pt>
                <c:pt idx="7">
                  <c:v>7</c:v>
                </c:pt>
                <c:pt idx="8">
                  <c:v>5</c:v>
                </c:pt>
                <c:pt idx="9">
                  <c:v>5</c:v>
                </c:pt>
                <c:pt idx="10">
                  <c:v>5</c:v>
                </c:pt>
                <c:pt idx="11">
                  <c:v>5</c:v>
                </c:pt>
                <c:pt idx="12">
                  <c:v>4</c:v>
                </c:pt>
                <c:pt idx="13">
                  <c:v>4</c:v>
                </c:pt>
                <c:pt idx="14">
                  <c:v>4</c:v>
                </c:pt>
                <c:pt idx="15">
                  <c:v>4</c:v>
                </c:pt>
                <c:pt idx="16">
                  <c:v>4</c:v>
                </c:pt>
                <c:pt idx="17">
                  <c:v>4</c:v>
                </c:pt>
                <c:pt idx="18">
                  <c:v>4</c:v>
                </c:pt>
                <c:pt idx="19">
                  <c:v>4</c:v>
                </c:pt>
                <c:pt idx="20">
                  <c:v>3</c:v>
                </c:pt>
                <c:pt idx="21">
                  <c:v>2</c:v>
                </c:pt>
                <c:pt idx="22">
                  <c:v>2</c:v>
                </c:pt>
                <c:pt idx="23">
                  <c:v>2</c:v>
                </c:pt>
                <c:pt idx="24">
                  <c:v>2</c:v>
                </c:pt>
                <c:pt idx="25">
                  <c:v>2</c:v>
                </c:pt>
                <c:pt idx="26">
                  <c:v>2</c:v>
                </c:pt>
                <c:pt idx="27">
                  <c:v>2</c:v>
                </c:pt>
                <c:pt idx="28">
                  <c:v>1</c:v>
                </c:pt>
              </c:numCache>
            </c:numRef>
          </c:val>
          <c:smooth val="0"/>
        </c:ser>
        <c:dLbls>
          <c:showLegendKey val="0"/>
          <c:showVal val="0"/>
          <c:showCatName val="0"/>
          <c:showSerName val="0"/>
          <c:showPercent val="0"/>
          <c:showBubbleSize val="0"/>
        </c:dLbls>
        <c:marker val="0"/>
        <c:smooth val="0"/>
        <c:axId val="500859094"/>
        <c:axId val="641297567"/>
      </c:lineChart>
      <c:catAx>
        <c:axId val="500859094"/>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641297567"/>
        <c:crosses val="autoZero"/>
        <c:auto val="1"/>
        <c:lblAlgn val="ctr"/>
        <c:lblOffset val="100"/>
        <c:noMultiLvlLbl val="0"/>
      </c:catAx>
      <c:valAx>
        <c:axId val="64129756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500859094"/>
        <c:crosses val="autoZero"/>
        <c:crossBetween val="between"/>
      </c:valAx>
      <c:spPr>
        <a:noFill/>
        <a:ln w="12700" cmpd="sng">
          <a:solidFill>
            <a:schemeClr val="tx1"/>
          </a:solidFill>
          <a:prstDash val="solid"/>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1469</Words>
  <Characters>8378</Characters>
  <Lines>69</Lines>
  <Paragraphs>19</Paragraphs>
  <TotalTime>118</TotalTime>
  <ScaleCrop>false</ScaleCrop>
  <LinksUpToDate>false</LinksUpToDate>
  <CharactersWithSpaces>9828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2021-12-06T03:44:00Z</dcterms:created>
  <dc:creator>XWB</dc:creator>
  <cp:lastModifiedBy>13607977454</cp:lastModifiedBy>
  <cp:lastPrinted>2020-11-20T03:24:00Z</cp:lastPrinted>
  <dcterms:modified xsi:type="dcterms:W3CDTF">2023-11-09T08:34:47Z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0593D0BEFB9643659D76C812972F5634_13</vt:lpwstr>
  </property>
</Properties>
</file>